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F11D" w14:textId="79C5EFFE" w:rsidR="003A03E6" w:rsidRPr="009045C8" w:rsidRDefault="003A03E6" w:rsidP="003A03E6">
      <w:pPr>
        <w:spacing w:beforeLines="60" w:before="144" w:afterLines="60" w:after="144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9045C8">
        <w:rPr>
          <w:rFonts w:eastAsia="Times New Roman" w:cstheme="minorHAnsi"/>
          <w:b/>
          <w:bCs/>
          <w:sz w:val="32"/>
          <w:szCs w:val="32"/>
        </w:rPr>
        <w:t>PROSPEKT INFORMACYJNY</w:t>
      </w:r>
      <w:r w:rsidR="005A6516" w:rsidRPr="009045C8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9045C8">
        <w:rPr>
          <w:rFonts w:eastAsia="Times New Roman" w:cstheme="minorHAnsi"/>
          <w:b/>
          <w:bCs/>
          <w:sz w:val="32"/>
          <w:szCs w:val="32"/>
        </w:rPr>
        <w:t>3 WYMIARY BRONOWICE</w:t>
      </w:r>
    </w:p>
    <w:p w14:paraId="6AD59DB2" w14:textId="77777777" w:rsidR="003A03E6" w:rsidRPr="009152E8" w:rsidRDefault="003A03E6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0BBC2BAB" w14:textId="77777777" w:rsidR="005A6516" w:rsidRPr="009152E8" w:rsidRDefault="005A6516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156270CB" w14:textId="177E0DC1" w:rsidR="00EA1C22" w:rsidRPr="009152E8" w:rsidRDefault="00EA1C22" w:rsidP="00DB30DA">
      <w:pPr>
        <w:spacing w:beforeLines="60" w:before="144" w:afterLines="60" w:after="144" w:line="240" w:lineRule="auto"/>
        <w:jc w:val="both"/>
        <w:rPr>
          <w:rFonts w:eastAsia="Times New Roman" w:cstheme="minorHAnsi"/>
          <w:sz w:val="20"/>
          <w:szCs w:val="20"/>
        </w:rPr>
      </w:pPr>
      <w:r w:rsidRPr="009152E8">
        <w:rPr>
          <w:rFonts w:eastAsia="Times New Roman" w:cstheme="minorHAnsi"/>
          <w:sz w:val="20"/>
          <w:szCs w:val="20"/>
        </w:rPr>
        <w:t xml:space="preserve">Stan na dzień sporządzenia prospektu informacyjnego </w:t>
      </w:r>
      <w:r w:rsidR="00DB30DA" w:rsidRPr="009152E8">
        <w:rPr>
          <w:rFonts w:eastAsia="Times New Roman" w:cstheme="minorHAnsi"/>
          <w:sz w:val="20"/>
          <w:szCs w:val="20"/>
        </w:rPr>
        <w:t xml:space="preserve"> </w:t>
      </w:r>
      <w:r w:rsidR="00675C68" w:rsidRPr="000465CC">
        <w:rPr>
          <w:rFonts w:eastAsia="Times New Roman" w:cstheme="minorHAnsi"/>
          <w:sz w:val="20"/>
          <w:szCs w:val="20"/>
        </w:rPr>
        <w:t>07</w:t>
      </w:r>
      <w:r w:rsidR="00D71AC4" w:rsidRPr="000465CC">
        <w:rPr>
          <w:rFonts w:eastAsia="Times New Roman" w:cstheme="minorHAnsi"/>
          <w:sz w:val="20"/>
          <w:szCs w:val="20"/>
        </w:rPr>
        <w:t>.</w:t>
      </w:r>
      <w:r w:rsidR="00675C68" w:rsidRPr="000465CC">
        <w:rPr>
          <w:rFonts w:eastAsia="Times New Roman" w:cstheme="minorHAnsi"/>
          <w:sz w:val="20"/>
          <w:szCs w:val="20"/>
        </w:rPr>
        <w:t>10</w:t>
      </w:r>
      <w:r w:rsidR="00EA422B" w:rsidRPr="000465CC">
        <w:rPr>
          <w:rFonts w:eastAsia="Times New Roman" w:cstheme="minorHAnsi"/>
          <w:sz w:val="20"/>
          <w:szCs w:val="20"/>
        </w:rPr>
        <w:t>.</w:t>
      </w:r>
      <w:r w:rsidR="00EB19E2" w:rsidRPr="000465CC">
        <w:rPr>
          <w:rFonts w:eastAsia="Times New Roman" w:cstheme="minorHAnsi"/>
          <w:sz w:val="20"/>
          <w:szCs w:val="20"/>
        </w:rPr>
        <w:t>202</w:t>
      </w:r>
      <w:r w:rsidR="00153470" w:rsidRPr="000465CC">
        <w:rPr>
          <w:rFonts w:eastAsia="Times New Roman" w:cstheme="minorHAnsi"/>
          <w:sz w:val="20"/>
          <w:szCs w:val="20"/>
        </w:rPr>
        <w:t>5</w:t>
      </w:r>
      <w:r w:rsidR="008C4DB6" w:rsidRPr="000465CC">
        <w:rPr>
          <w:rFonts w:eastAsia="Times New Roman" w:cstheme="minorHAnsi"/>
          <w:sz w:val="20"/>
          <w:szCs w:val="20"/>
        </w:rPr>
        <w:t xml:space="preserve"> r.</w:t>
      </w:r>
    </w:p>
    <w:p w14:paraId="7C8DC614" w14:textId="77777777" w:rsidR="00EA1C22" w:rsidRPr="009152E8" w:rsidRDefault="00EA1C22" w:rsidP="00EA1C22">
      <w:pPr>
        <w:spacing w:before="60" w:after="60" w:line="240" w:lineRule="auto"/>
        <w:jc w:val="center"/>
        <w:outlineLvl w:val="0"/>
        <w:rPr>
          <w:rFonts w:eastAsia="Calibri" w:cstheme="minorHAnsi"/>
          <w:b/>
          <w:sz w:val="20"/>
          <w:szCs w:val="20"/>
        </w:rPr>
      </w:pPr>
    </w:p>
    <w:p w14:paraId="7E21DEF7" w14:textId="77777777" w:rsidR="00EA1C22" w:rsidRPr="009152E8" w:rsidRDefault="00EA1C22" w:rsidP="00EA1C22">
      <w:pPr>
        <w:spacing w:before="60" w:after="60" w:line="240" w:lineRule="auto"/>
        <w:jc w:val="center"/>
        <w:outlineLvl w:val="0"/>
        <w:rPr>
          <w:rFonts w:eastAsia="Calibri" w:cstheme="minorHAnsi"/>
          <w:b/>
          <w:sz w:val="20"/>
          <w:szCs w:val="20"/>
        </w:rPr>
      </w:pPr>
    </w:p>
    <w:p w14:paraId="747396F9" w14:textId="77777777" w:rsidR="00EA1C22" w:rsidRPr="009152E8" w:rsidRDefault="00EA1C22" w:rsidP="00EA1C22">
      <w:pPr>
        <w:spacing w:beforeLines="60" w:before="144" w:afterLines="60" w:after="144" w:line="240" w:lineRule="auto"/>
        <w:outlineLvl w:val="0"/>
        <w:rPr>
          <w:rFonts w:eastAsia="Calibri" w:cstheme="minorHAnsi"/>
          <w:b/>
          <w:sz w:val="20"/>
          <w:szCs w:val="20"/>
        </w:rPr>
      </w:pPr>
      <w:r w:rsidRPr="009152E8">
        <w:rPr>
          <w:rFonts w:eastAsia="Calibri" w:cstheme="minorHAnsi"/>
          <w:b/>
          <w:sz w:val="20"/>
          <w:szCs w:val="20"/>
        </w:rPr>
        <w:t>CZĘŚĆ OGÓLNA</w:t>
      </w:r>
    </w:p>
    <w:p w14:paraId="1173C85E" w14:textId="77777777" w:rsidR="00EA1C22" w:rsidRPr="009152E8" w:rsidRDefault="00EA1C22" w:rsidP="00920895">
      <w:pPr>
        <w:spacing w:after="0" w:line="240" w:lineRule="auto"/>
        <w:outlineLvl w:val="0"/>
        <w:rPr>
          <w:rFonts w:eastAsia="Calibri" w:cstheme="minorHAnsi"/>
          <w:b/>
          <w:sz w:val="20"/>
          <w:szCs w:val="20"/>
        </w:rPr>
      </w:pPr>
    </w:p>
    <w:p w14:paraId="21DA8602" w14:textId="77777777" w:rsidR="00EA1C22" w:rsidRPr="009152E8" w:rsidRDefault="00EA1C22" w:rsidP="00920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1077"/>
        <w:jc w:val="both"/>
        <w:rPr>
          <w:rFonts w:eastAsia="Times New Roman" w:cstheme="minorHAnsi"/>
          <w:b/>
          <w:bCs/>
          <w:sz w:val="20"/>
          <w:szCs w:val="20"/>
        </w:rPr>
      </w:pPr>
      <w:r w:rsidRPr="009152E8">
        <w:rPr>
          <w:rFonts w:eastAsia="Times New Roman" w:cstheme="minorHAnsi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420"/>
      </w:tblGrid>
      <w:tr w:rsidR="00EA1C22" w:rsidRPr="009152E8" w14:paraId="502BAAE0" w14:textId="77777777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5753B59E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bCs/>
                <w:sz w:val="20"/>
                <w:szCs w:val="20"/>
              </w:rPr>
              <w:t>DANE DEWELOPERA</w:t>
            </w:r>
          </w:p>
          <w:p w14:paraId="416B65C2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B02A22" w:rsidRPr="009152E8" w14:paraId="44A64AE2" w14:textId="77777777" w:rsidTr="006A27FC">
        <w:trPr>
          <w:trHeight w:val="375"/>
        </w:trPr>
        <w:tc>
          <w:tcPr>
            <w:tcW w:w="2988" w:type="dxa"/>
            <w:shd w:val="clear" w:color="auto" w:fill="F3F3F3"/>
          </w:tcPr>
          <w:p w14:paraId="364746B1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Deweloper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F1092F" w14:textId="3854486D" w:rsidR="0056623C" w:rsidRPr="009152E8" w:rsidRDefault="005A060E" w:rsidP="00EB19E2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b/>
                <w:color w:val="000000" w:themeColor="text1"/>
                <w:sz w:val="20"/>
                <w:szCs w:val="20"/>
              </w:rPr>
              <w:t>3 Wymiary Bronowice</w:t>
            </w:r>
            <w:r w:rsidR="0056623C" w:rsidRPr="009152E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Spółka z Ograniczoną Odpowiedzialnością</w:t>
            </w:r>
          </w:p>
          <w:p w14:paraId="676FBCAE" w14:textId="17A8F08A" w:rsidR="00B02A22" w:rsidRPr="009152E8" w:rsidRDefault="00B02A22" w:rsidP="00EB19E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z siedzibą w Krakowie, wpisana do Rejestru Przedsiębiorców Krajowego Rejestru Sądowego prowadzonego przez Sąd Rejonowy dla Krakowa – Podgórza w Krakowie pod numerem KRS </w:t>
            </w:r>
            <w:r w:rsidR="00BD2289" w:rsidRPr="009152E8">
              <w:rPr>
                <w:rFonts w:cstheme="minorHAnsi"/>
                <w:bCs/>
                <w:color w:val="000000" w:themeColor="text1"/>
                <w:sz w:val="20"/>
                <w:szCs w:val="20"/>
              </w:rPr>
              <w:t>000</w:t>
            </w:r>
            <w:r w:rsidR="005A060E" w:rsidRPr="009152E8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1172178</w:t>
            </w:r>
            <w:r w:rsidR="00ED6D96" w:rsidRPr="009152E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2A22" w:rsidRPr="009152E8" w14:paraId="16A55723" w14:textId="77777777" w:rsidTr="00720790">
        <w:trPr>
          <w:trHeight w:val="783"/>
        </w:trPr>
        <w:tc>
          <w:tcPr>
            <w:tcW w:w="2988" w:type="dxa"/>
            <w:shd w:val="clear" w:color="auto" w:fill="F3F3F3"/>
          </w:tcPr>
          <w:p w14:paraId="3A939A9E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66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8111D" w14:textId="6A7C0133" w:rsidR="00ED6D96" w:rsidRPr="009152E8" w:rsidRDefault="00ED6D96" w:rsidP="006135E0">
            <w:pPr>
              <w:spacing w:beforeLines="60" w:before="144" w:afterLines="60" w:after="144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>ul. Korzeniowskiego 36</w:t>
            </w:r>
            <w:r w:rsidR="006135E0" w:rsidRPr="009152E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30-214</w:t>
            </w:r>
            <w:r w:rsidR="006135E0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Kraków</w:t>
            </w:r>
            <w:r w:rsidR="006135E0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(biuro sprzedaży mieści się pod adresem: ul. Romanowicza 4, 30-702 Kraków)</w:t>
            </w:r>
          </w:p>
        </w:tc>
      </w:tr>
      <w:tr w:rsidR="00B02A22" w:rsidRPr="009152E8" w14:paraId="699A417B" w14:textId="77777777" w:rsidTr="00720790">
        <w:trPr>
          <w:trHeight w:val="563"/>
        </w:trPr>
        <w:tc>
          <w:tcPr>
            <w:tcW w:w="2988" w:type="dxa"/>
            <w:shd w:val="clear" w:color="auto" w:fill="F3F3F3"/>
          </w:tcPr>
          <w:p w14:paraId="600C85C5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Numer NIP REGON</w:t>
            </w:r>
          </w:p>
        </w:tc>
        <w:tc>
          <w:tcPr>
            <w:tcW w:w="3240" w:type="dxa"/>
            <w:vAlign w:val="center"/>
          </w:tcPr>
          <w:p w14:paraId="5B74CF46" w14:textId="1274392E" w:rsidR="00B02A22" w:rsidRPr="009152E8" w:rsidRDefault="003A03E6" w:rsidP="003A03E6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 xml:space="preserve">NIP </w:t>
            </w:r>
            <w:r w:rsidR="00ED6D96" w:rsidRPr="009152E8">
              <w:rPr>
                <w:rFonts w:cstheme="minorHAnsi"/>
                <w:color w:val="000000" w:themeColor="text1"/>
                <w:sz w:val="20"/>
                <w:szCs w:val="20"/>
              </w:rPr>
              <w:t>67</w:t>
            </w:r>
            <w:r w:rsidR="005A060E" w:rsidRPr="009152E8">
              <w:rPr>
                <w:rFonts w:cstheme="minorHAnsi"/>
                <w:color w:val="000000" w:themeColor="text1"/>
                <w:sz w:val="20"/>
                <w:szCs w:val="20"/>
              </w:rPr>
              <w:t>93330912</w:t>
            </w:r>
          </w:p>
        </w:tc>
        <w:tc>
          <w:tcPr>
            <w:tcW w:w="3420" w:type="dxa"/>
            <w:vAlign w:val="center"/>
          </w:tcPr>
          <w:p w14:paraId="2B40A22C" w14:textId="1C9F72DB" w:rsidR="00B02A22" w:rsidRPr="009152E8" w:rsidRDefault="003A03E6" w:rsidP="003A03E6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 xml:space="preserve">REGON </w:t>
            </w:r>
            <w:r w:rsidR="005A060E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541696959</w:t>
            </w:r>
          </w:p>
        </w:tc>
      </w:tr>
      <w:tr w:rsidR="00B02A22" w:rsidRPr="009152E8" w14:paraId="0D3352BE" w14:textId="77777777" w:rsidTr="000E37EE">
        <w:tc>
          <w:tcPr>
            <w:tcW w:w="2988" w:type="dxa"/>
            <w:shd w:val="clear" w:color="auto" w:fill="F3F3F3"/>
          </w:tcPr>
          <w:p w14:paraId="5DCF012B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Numer telefonu</w:t>
            </w:r>
          </w:p>
        </w:tc>
        <w:tc>
          <w:tcPr>
            <w:tcW w:w="6660" w:type="dxa"/>
            <w:gridSpan w:val="2"/>
            <w:vAlign w:val="center"/>
          </w:tcPr>
          <w:p w14:paraId="696CC7A1" w14:textId="3EB05B5C" w:rsidR="00B02A22" w:rsidRPr="009152E8" w:rsidRDefault="00B02A22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 xml:space="preserve">+48 12 </w:t>
            </w:r>
            <w:r w:rsidR="00ED6D96" w:rsidRPr="009152E8">
              <w:rPr>
                <w:rFonts w:cstheme="minorHAnsi"/>
                <w:color w:val="000000" w:themeColor="text1"/>
                <w:sz w:val="20"/>
                <w:szCs w:val="20"/>
              </w:rPr>
              <w:t>26 36</w:t>
            </w:r>
            <w:r w:rsidR="006135E0" w:rsidRPr="009152E8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="00ED6D96" w:rsidRPr="009152E8">
              <w:rPr>
                <w:rFonts w:cstheme="minorHAnsi"/>
                <w:color w:val="000000" w:themeColor="text1"/>
                <w:sz w:val="20"/>
                <w:szCs w:val="20"/>
              </w:rPr>
              <w:t>415</w:t>
            </w:r>
            <w:r w:rsidR="006135E0" w:rsidRPr="009152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135E0" w:rsidRPr="009152E8">
              <w:rPr>
                <w:rFonts w:eastAsia="Times New Roman" w:cstheme="minorHAnsi"/>
                <w:sz w:val="20"/>
                <w:szCs w:val="20"/>
              </w:rPr>
              <w:t>(sekretariat spółki)</w:t>
            </w:r>
          </w:p>
        </w:tc>
      </w:tr>
      <w:tr w:rsidR="00B02A22" w:rsidRPr="009152E8" w14:paraId="08EF4A8A" w14:textId="77777777">
        <w:trPr>
          <w:trHeight w:val="272"/>
        </w:trPr>
        <w:tc>
          <w:tcPr>
            <w:tcW w:w="2988" w:type="dxa"/>
            <w:shd w:val="clear" w:color="auto" w:fill="F3F3F3"/>
          </w:tcPr>
          <w:p w14:paraId="04FA020B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6660" w:type="dxa"/>
            <w:gridSpan w:val="2"/>
          </w:tcPr>
          <w:p w14:paraId="062D0A42" w14:textId="378E522B" w:rsidR="00B02A22" w:rsidRPr="009152E8" w:rsidRDefault="006135E0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hyperlink r:id="rId8" w:history="1">
              <w:r w:rsidRPr="009152E8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u w:val="none"/>
                </w:rPr>
                <w:t>biuro@q3d.pl</w:t>
              </w:r>
            </w:hyperlink>
            <w:r w:rsidRPr="009152E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02A22" w:rsidRPr="009152E8" w14:paraId="224F6919" w14:textId="77777777">
        <w:tc>
          <w:tcPr>
            <w:tcW w:w="2988" w:type="dxa"/>
            <w:shd w:val="clear" w:color="auto" w:fill="F3F3F3"/>
          </w:tcPr>
          <w:p w14:paraId="5F0B4B53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Numer faksu</w:t>
            </w:r>
          </w:p>
        </w:tc>
        <w:tc>
          <w:tcPr>
            <w:tcW w:w="6660" w:type="dxa"/>
            <w:gridSpan w:val="2"/>
          </w:tcPr>
          <w:p w14:paraId="4F559C06" w14:textId="4122DE62" w:rsidR="00B02A22" w:rsidRPr="009152E8" w:rsidRDefault="00DB30DA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02A22" w:rsidRPr="009152E8" w14:paraId="519D07CA" w14:textId="77777777">
        <w:trPr>
          <w:trHeight w:val="218"/>
        </w:trPr>
        <w:tc>
          <w:tcPr>
            <w:tcW w:w="2988" w:type="dxa"/>
            <w:shd w:val="clear" w:color="auto" w:fill="F3F3F3"/>
          </w:tcPr>
          <w:p w14:paraId="5B7FB288" w14:textId="77777777" w:rsidR="00B02A22" w:rsidRPr="009152E8" w:rsidRDefault="00B02A22" w:rsidP="00720790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Adres strony internetowej dewelopera</w:t>
            </w:r>
          </w:p>
        </w:tc>
        <w:tc>
          <w:tcPr>
            <w:tcW w:w="6660" w:type="dxa"/>
            <w:gridSpan w:val="2"/>
          </w:tcPr>
          <w:p w14:paraId="4CF0EC10" w14:textId="4045EB39" w:rsidR="00B02A22" w:rsidRPr="009152E8" w:rsidRDefault="00B02A22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>http://</w:t>
            </w:r>
            <w:r w:rsidR="00ED6D96" w:rsidRPr="009152E8">
              <w:rPr>
                <w:rFonts w:cstheme="minorHAnsi"/>
                <w:color w:val="000000" w:themeColor="text1"/>
                <w:sz w:val="20"/>
                <w:szCs w:val="20"/>
              </w:rPr>
              <w:t>q3dlocum</w:t>
            </w: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>.pl/</w:t>
            </w:r>
          </w:p>
        </w:tc>
      </w:tr>
    </w:tbl>
    <w:p w14:paraId="1040B264" w14:textId="77777777" w:rsidR="00EA1C22" w:rsidRPr="009152E8" w:rsidRDefault="00EA1C22" w:rsidP="009219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40" w:lineRule="auto"/>
        <w:ind w:left="1077"/>
        <w:jc w:val="both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EA1C22" w:rsidRPr="009152E8" w14:paraId="67C85EB5" w14:textId="77777777">
        <w:trPr>
          <w:trHeight w:val="704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1D087049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HISTORIA I UDOKUMENTOWANE</w:t>
            </w:r>
            <w:r w:rsidR="00920895" w:rsidRPr="009152E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DOŚWIADCZENIE DEWELOPERA</w:t>
            </w: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5"/>
      </w:tblGrid>
      <w:tr w:rsidR="00EA1C22" w:rsidRPr="009152E8" w14:paraId="77B7E973" w14:textId="77777777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CE63CD2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PRZYKŁAD UKOŃCZONEGO PRZEDSIĘWZIĘCIA DEWELOPERSKIEGO (należy wskazać, o ile istnieją, trzy ukończone przedsięwzięcia deweloperskie, w</w:t>
            </w:r>
            <w:r w:rsidR="00920895" w:rsidRPr="009152E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tym</w:t>
            </w:r>
            <w:r w:rsidR="00920895" w:rsidRPr="009152E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ostatnie)</w:t>
            </w:r>
          </w:p>
        </w:tc>
      </w:tr>
      <w:tr w:rsidR="00B02A22" w:rsidRPr="009152E8" w14:paraId="56F53B92" w14:textId="77777777">
        <w:trPr>
          <w:trHeight w:val="135"/>
        </w:trPr>
        <w:tc>
          <w:tcPr>
            <w:tcW w:w="2813" w:type="dxa"/>
            <w:shd w:val="clear" w:color="auto" w:fill="F3F3F3"/>
          </w:tcPr>
          <w:p w14:paraId="6583E493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14:paraId="5CA44994" w14:textId="77777777" w:rsidR="003A03E6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Park Leśny Bronowice – inwestycja 4 etapowa</w:t>
            </w:r>
          </w:p>
          <w:p w14:paraId="0FE4C8BA" w14:textId="0EC4110C" w:rsidR="00B02A22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u</w:t>
            </w:r>
            <w:r w:rsidR="001F4D48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l. Starego Dębu </w:t>
            </w:r>
            <w:r w:rsidR="00391794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nr od </w:t>
            </w:r>
            <w:r w:rsidR="001F4D48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46 </w:t>
            </w:r>
            <w:r w:rsidR="00391794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do</w:t>
            </w:r>
            <w:r w:rsidR="001F4D48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68, 31-355 Kraków </w:t>
            </w:r>
          </w:p>
        </w:tc>
      </w:tr>
      <w:tr w:rsidR="00B02A22" w:rsidRPr="009152E8" w14:paraId="7112F440" w14:textId="77777777">
        <w:tc>
          <w:tcPr>
            <w:tcW w:w="2813" w:type="dxa"/>
            <w:shd w:val="clear" w:color="auto" w:fill="F3F3F3"/>
          </w:tcPr>
          <w:p w14:paraId="18FB2C21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14:paraId="76D8AA87" w14:textId="5522AB87" w:rsidR="00B02A22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Etap 1 - rozpoczęcie</w:t>
            </w:r>
            <w:r w:rsidR="00501223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listopad 2017r.</w:t>
            </w:r>
          </w:p>
        </w:tc>
      </w:tr>
      <w:tr w:rsidR="00B02A22" w:rsidRPr="009152E8" w14:paraId="72D61755" w14:textId="77777777">
        <w:tc>
          <w:tcPr>
            <w:tcW w:w="2813" w:type="dxa"/>
            <w:shd w:val="clear" w:color="auto" w:fill="F3F3F3"/>
          </w:tcPr>
          <w:p w14:paraId="7F313B26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lastRenderedPageBreak/>
              <w:t>Data wydania decyzji o pozwoleniu na użytkowanie</w:t>
            </w:r>
          </w:p>
        </w:tc>
        <w:tc>
          <w:tcPr>
            <w:tcW w:w="6835" w:type="dxa"/>
          </w:tcPr>
          <w:p w14:paraId="1EB72368" w14:textId="34ECBA14" w:rsidR="00B02A22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Etap 4 - decyzja</w:t>
            </w:r>
            <w:r w:rsidR="00501223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PnU</w:t>
            </w:r>
            <w:proofErr w:type="spellEnd"/>
            <w:r w:rsidR="00501223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07.03.2024r. (bud. 66 i 68) </w:t>
            </w: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/ </w:t>
            </w:r>
            <w:r w:rsidR="00391794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01.02.2024r. (bud. 24A)</w:t>
            </w:r>
          </w:p>
        </w:tc>
      </w:tr>
      <w:tr w:rsidR="00B02A22" w:rsidRPr="009152E8" w14:paraId="0ACB0B16" w14:textId="77777777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1A4A0DD2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PRZYKŁAD INNEGO UKOŃCZONEGO PRZEDSIĘWZIĘCIA DEWELOPERSKIEGO</w:t>
            </w:r>
          </w:p>
          <w:p w14:paraId="2600E12C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02A22" w:rsidRPr="009152E8" w14:paraId="1F718D01" w14:textId="77777777">
        <w:trPr>
          <w:trHeight w:val="135"/>
        </w:trPr>
        <w:tc>
          <w:tcPr>
            <w:tcW w:w="2813" w:type="dxa"/>
            <w:shd w:val="clear" w:color="auto" w:fill="F3F3F3"/>
          </w:tcPr>
          <w:p w14:paraId="2A750404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14:paraId="196480AD" w14:textId="77777777" w:rsidR="003A03E6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Apartamenty z Ogrodu </w:t>
            </w:r>
          </w:p>
          <w:p w14:paraId="6627C9B2" w14:textId="0BEB4DCA" w:rsidR="00B02A22" w:rsidRPr="009152E8" w:rsidRDefault="00391794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ul. Jesionowa 13, 30-221 Kraków </w:t>
            </w:r>
          </w:p>
        </w:tc>
      </w:tr>
      <w:tr w:rsidR="00B02A22" w:rsidRPr="009152E8" w14:paraId="71AB012C" w14:textId="77777777">
        <w:tc>
          <w:tcPr>
            <w:tcW w:w="2813" w:type="dxa"/>
            <w:shd w:val="clear" w:color="auto" w:fill="F3F3F3"/>
          </w:tcPr>
          <w:p w14:paraId="623B22F2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14:paraId="11B897FA" w14:textId="60770C3A" w:rsidR="00B02A22" w:rsidRPr="009152E8" w:rsidRDefault="00720790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</w:t>
            </w:r>
            <w:r w:rsidR="00391794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aj 2015r.</w:t>
            </w:r>
          </w:p>
        </w:tc>
      </w:tr>
      <w:tr w:rsidR="00B02A22" w:rsidRPr="009152E8" w14:paraId="62E95ACD" w14:textId="77777777">
        <w:tc>
          <w:tcPr>
            <w:tcW w:w="2813" w:type="dxa"/>
            <w:shd w:val="clear" w:color="auto" w:fill="F3F3F3"/>
          </w:tcPr>
          <w:p w14:paraId="4858ED65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14:paraId="169811A3" w14:textId="08C686DE" w:rsidR="00B02A22" w:rsidRPr="009152E8" w:rsidRDefault="00391794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16.01.2017r.</w:t>
            </w:r>
          </w:p>
        </w:tc>
      </w:tr>
      <w:tr w:rsidR="00B02A22" w:rsidRPr="009152E8" w14:paraId="1F7BDB8B" w14:textId="77777777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D4D5A58" w14:textId="77777777" w:rsidR="00B02A22" w:rsidRPr="009152E8" w:rsidRDefault="00B02A22" w:rsidP="005A651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PRZYKŁAD OSTATNIEGO UKOŃCZONEGO PRZEDSIĘWZIĘCIA DEWELOPERSKIEGO</w:t>
            </w:r>
          </w:p>
          <w:p w14:paraId="0B8F9CB7" w14:textId="77777777" w:rsidR="00B02A22" w:rsidRPr="009152E8" w:rsidRDefault="00B02A22" w:rsidP="005A651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02A22" w:rsidRPr="009152E8" w14:paraId="6FDFC9A2" w14:textId="77777777">
        <w:trPr>
          <w:trHeight w:val="135"/>
        </w:trPr>
        <w:tc>
          <w:tcPr>
            <w:tcW w:w="2813" w:type="dxa"/>
            <w:shd w:val="clear" w:color="auto" w:fill="F3F3F3"/>
          </w:tcPr>
          <w:p w14:paraId="6DA22CC6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14:paraId="3CBC535B" w14:textId="77777777" w:rsidR="00B02A22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Greendustry</w:t>
            </w:r>
            <w:proofErr w:type="spellEnd"/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Zabłocie – etap 1 i 2</w:t>
            </w:r>
          </w:p>
          <w:p w14:paraId="019C9A80" w14:textId="0CFD9BDA" w:rsidR="003A03E6" w:rsidRPr="009152E8" w:rsidRDefault="003A03E6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ul. Tadeusza Romanowicza 6A i 6B, 30-702 Kraków</w:t>
            </w:r>
          </w:p>
        </w:tc>
      </w:tr>
      <w:tr w:rsidR="00B02A22" w:rsidRPr="009152E8" w14:paraId="0CCD1FAA" w14:textId="77777777">
        <w:tc>
          <w:tcPr>
            <w:tcW w:w="2813" w:type="dxa"/>
            <w:shd w:val="clear" w:color="auto" w:fill="F3F3F3"/>
          </w:tcPr>
          <w:p w14:paraId="77474156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14:paraId="03A284CB" w14:textId="77C1AA15" w:rsidR="00B02A22" w:rsidRPr="009152E8" w:rsidRDefault="00A26057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Listopad 2020r.</w:t>
            </w:r>
          </w:p>
        </w:tc>
      </w:tr>
      <w:tr w:rsidR="00B02A22" w:rsidRPr="009152E8" w14:paraId="74AA255F" w14:textId="77777777">
        <w:tc>
          <w:tcPr>
            <w:tcW w:w="2813" w:type="dxa"/>
            <w:shd w:val="clear" w:color="auto" w:fill="F3F3F3"/>
          </w:tcPr>
          <w:p w14:paraId="34446DE9" w14:textId="77777777" w:rsidR="00B02A22" w:rsidRPr="009152E8" w:rsidRDefault="00B02A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14:paraId="4039637A" w14:textId="6CC8C408" w:rsidR="00B02A22" w:rsidRPr="009152E8" w:rsidRDefault="00071269" w:rsidP="00B02A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Etap 2 – decyzja </w:t>
            </w:r>
            <w:proofErr w:type="spellStart"/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PnU</w:t>
            </w:r>
            <w:proofErr w:type="spellEnd"/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09.07.2024r.</w:t>
            </w:r>
          </w:p>
        </w:tc>
      </w:tr>
    </w:tbl>
    <w:p w14:paraId="3E68967D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EA1C22" w:rsidRPr="009152E8" w14:paraId="07A1E336" w14:textId="77777777">
        <w:tc>
          <w:tcPr>
            <w:tcW w:w="2808" w:type="dxa"/>
            <w:shd w:val="clear" w:color="auto" w:fill="F3F3F3"/>
          </w:tcPr>
          <w:p w14:paraId="4D61FF51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40" w:type="dxa"/>
          </w:tcPr>
          <w:p w14:paraId="438CB253" w14:textId="537D19A4" w:rsidR="00EA1C22" w:rsidRPr="009152E8" w:rsidRDefault="005A6516" w:rsidP="00301E3C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bCs/>
                <w:noProof/>
                <w:sz w:val="20"/>
                <w:szCs w:val="20"/>
              </w:rPr>
              <w:t>Nie dotyczy</w:t>
            </w:r>
          </w:p>
        </w:tc>
      </w:tr>
    </w:tbl>
    <w:p w14:paraId="689645EA" w14:textId="77777777" w:rsidR="00EA1C22" w:rsidRPr="009152E8" w:rsidRDefault="00EA1C22" w:rsidP="00921952">
      <w:pPr>
        <w:spacing w:beforeLines="60" w:before="144"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6804FDCB" w14:textId="77777777" w:rsidR="00EA1C22" w:rsidRPr="009152E8" w:rsidRDefault="00EA1C22" w:rsidP="009219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40" w:lineRule="auto"/>
        <w:ind w:left="1077"/>
        <w:jc w:val="both"/>
        <w:rPr>
          <w:rFonts w:eastAsia="Times New Roman" w:cstheme="minorHAnsi"/>
          <w:b/>
          <w:bCs/>
          <w:sz w:val="20"/>
          <w:szCs w:val="20"/>
        </w:rPr>
      </w:pPr>
      <w:r w:rsidRPr="009152E8">
        <w:rPr>
          <w:rFonts w:eastAsia="Times New Roman" w:cstheme="minorHAnsi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891"/>
        <w:gridCol w:w="1842"/>
        <w:gridCol w:w="236"/>
        <w:gridCol w:w="3733"/>
      </w:tblGrid>
      <w:tr w:rsidR="00EA1C22" w:rsidRPr="009152E8" w14:paraId="58A2D41C" w14:textId="77777777" w:rsidTr="005323C5"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22894225" w14:textId="77777777" w:rsidR="00EA1C22" w:rsidRPr="009152E8" w:rsidRDefault="00EA1C22" w:rsidP="00EA1C22">
            <w:pPr>
              <w:spacing w:beforeLines="60" w:before="144" w:afterLines="60" w:after="144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INFORMACJE DOTYCZĄCE GRUNTU I ZAGOSPODAROWANIA PRZESTRZENNEGO TERENU</w:t>
            </w:r>
          </w:p>
          <w:p w14:paraId="06BB406A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A1C22" w:rsidRPr="009152E8" w14:paraId="24C87474" w14:textId="77777777" w:rsidTr="005323C5">
        <w:trPr>
          <w:trHeight w:val="135"/>
        </w:trPr>
        <w:tc>
          <w:tcPr>
            <w:tcW w:w="1932" w:type="dxa"/>
            <w:shd w:val="clear" w:color="auto" w:fill="F3F3F3"/>
          </w:tcPr>
          <w:p w14:paraId="79B01973" w14:textId="77777777" w:rsidR="00EA1C22" w:rsidRPr="009152E8" w:rsidRDefault="00EA1C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Adres i numer działki ewidencyjnej i obrębu</w:t>
            </w:r>
            <w:r w:rsidRPr="009152E8">
              <w:rPr>
                <w:rFonts w:eastAsia="Times New Roman" w:cstheme="minorHAnsi"/>
                <w:sz w:val="20"/>
                <w:szCs w:val="20"/>
                <w:vertAlign w:val="superscript"/>
              </w:rPr>
              <w:footnoteReference w:customMarkFollows="1" w:id="2"/>
              <w:t>1)</w:t>
            </w:r>
          </w:p>
        </w:tc>
        <w:tc>
          <w:tcPr>
            <w:tcW w:w="7702" w:type="dxa"/>
            <w:gridSpan w:val="4"/>
          </w:tcPr>
          <w:p w14:paraId="73CD4477" w14:textId="19AD4A47" w:rsidR="00EA1C22" w:rsidRPr="000465CC" w:rsidRDefault="00B02A22" w:rsidP="00675C68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465CC">
              <w:rPr>
                <w:rFonts w:eastAsia="Times New Roman" w:cstheme="minorHAnsi"/>
                <w:sz w:val="20"/>
                <w:szCs w:val="20"/>
              </w:rPr>
              <w:t xml:space="preserve">Kraków, ul. </w:t>
            </w:r>
            <w:r w:rsidR="00B747B1" w:rsidRPr="000465CC">
              <w:rPr>
                <w:rFonts w:eastAsia="Times New Roman" w:cstheme="minorHAnsi"/>
                <w:sz w:val="20"/>
                <w:szCs w:val="20"/>
              </w:rPr>
              <w:t>Stelmachów</w:t>
            </w:r>
            <w:r w:rsidRPr="000465CC">
              <w:rPr>
                <w:rFonts w:eastAsia="Times New Roman" w:cstheme="minorHAnsi"/>
                <w:sz w:val="20"/>
                <w:szCs w:val="20"/>
              </w:rPr>
              <w:t>, jednostka ewidencyjna</w:t>
            </w:r>
            <w:r w:rsidR="00C649FC" w:rsidRPr="000465C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C649FC" w:rsidRPr="000465CC">
              <w:rPr>
                <w:rFonts w:eastAsia="Times New Roman" w:cstheme="minorHAnsi"/>
                <w:sz w:val="20"/>
                <w:szCs w:val="20"/>
              </w:rPr>
              <w:t>Krowodrza</w:t>
            </w:r>
            <w:proofErr w:type="spellEnd"/>
            <w:r w:rsidRPr="000465CC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0465CC">
              <w:rPr>
                <w:rFonts w:eastAsia="Times New Roman" w:cstheme="minorHAnsi"/>
                <w:bCs/>
                <w:sz w:val="20"/>
                <w:szCs w:val="20"/>
              </w:rPr>
              <w:t xml:space="preserve">obręb ewidencyjny </w:t>
            </w:r>
            <w:r w:rsidR="00C649FC" w:rsidRPr="000465CC">
              <w:rPr>
                <w:rFonts w:eastAsia="Times New Roman" w:cstheme="minorHAnsi"/>
                <w:bCs/>
                <w:sz w:val="20"/>
                <w:szCs w:val="20"/>
              </w:rPr>
              <w:t>33,</w:t>
            </w:r>
            <w:r w:rsidRPr="000465CC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DA0D9F" w:rsidRPr="000465CC">
              <w:rPr>
                <w:rFonts w:cstheme="minorHAnsi"/>
                <w:sz w:val="20"/>
                <w:szCs w:val="20"/>
                <w:lang w:eastAsia="pl-PL"/>
              </w:rPr>
              <w:t>działka nr</w:t>
            </w:r>
            <w:r w:rsidR="00675C68" w:rsidRPr="000465CC">
              <w:rPr>
                <w:rFonts w:cstheme="minorHAnsi"/>
                <w:sz w:val="20"/>
                <w:szCs w:val="20"/>
                <w:lang w:eastAsia="pl-PL"/>
              </w:rPr>
              <w:t>:</w:t>
            </w:r>
            <w:r w:rsidR="00DA0D9F" w:rsidRPr="000465CC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E467F6" w:rsidRPr="000465CC">
              <w:rPr>
                <w:rFonts w:cstheme="minorHAnsi"/>
                <w:sz w:val="20"/>
                <w:szCs w:val="20"/>
                <w:lang w:eastAsia="pl-PL"/>
              </w:rPr>
              <w:t>1155/4, 1156/4 i 1157/4</w:t>
            </w:r>
            <w:r w:rsidR="008268D3" w:rsidRPr="000465CC">
              <w:rPr>
                <w:rFonts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EA1C22" w:rsidRPr="009152E8" w14:paraId="06C253E3" w14:textId="77777777" w:rsidTr="005323C5">
        <w:trPr>
          <w:trHeight w:val="98"/>
        </w:trPr>
        <w:tc>
          <w:tcPr>
            <w:tcW w:w="1932" w:type="dxa"/>
            <w:shd w:val="clear" w:color="auto" w:fill="F3F3F3"/>
          </w:tcPr>
          <w:p w14:paraId="39285D48" w14:textId="77777777" w:rsidR="00EA1C22" w:rsidRPr="009152E8" w:rsidRDefault="00EA1C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7702" w:type="dxa"/>
            <w:gridSpan w:val="4"/>
          </w:tcPr>
          <w:p w14:paraId="5C8F7682" w14:textId="49244850" w:rsidR="005B5FAE" w:rsidRPr="000465CC" w:rsidRDefault="00675C68" w:rsidP="00675C68">
            <w:pPr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65CC">
              <w:rPr>
                <w:rFonts w:ascii="Calibri" w:hAnsi="Calibri" w:cs="Calibri"/>
                <w:sz w:val="20"/>
                <w:szCs w:val="20"/>
              </w:rPr>
              <w:t>KW nr KR1P/00704971/7 prowadzona przez Sąd Rejonowy dla Krakowa Podgórza w Krakowie IV Wydział Ksiąg Wieczystych.</w:t>
            </w:r>
          </w:p>
        </w:tc>
      </w:tr>
      <w:tr w:rsidR="00EA1C22" w:rsidRPr="009152E8" w14:paraId="3771BBBF" w14:textId="77777777" w:rsidTr="005323C5">
        <w:trPr>
          <w:trHeight w:val="98"/>
        </w:trPr>
        <w:tc>
          <w:tcPr>
            <w:tcW w:w="1932" w:type="dxa"/>
            <w:shd w:val="clear" w:color="auto" w:fill="F3F3F3"/>
          </w:tcPr>
          <w:p w14:paraId="6818EC33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Istniejące obciążenia hipoteczne nieruchomości lub </w:t>
            </w:r>
            <w:r w:rsidRPr="009152E8">
              <w:rPr>
                <w:rFonts w:eastAsia="Times New Roman" w:cstheme="minorHAnsi"/>
                <w:sz w:val="20"/>
                <w:szCs w:val="20"/>
              </w:rPr>
              <w:lastRenderedPageBreak/>
              <w:t>wnioski o wpis w dziale czwartym księgi wieczystej</w:t>
            </w:r>
          </w:p>
        </w:tc>
        <w:tc>
          <w:tcPr>
            <w:tcW w:w="7702" w:type="dxa"/>
            <w:gridSpan w:val="4"/>
          </w:tcPr>
          <w:p w14:paraId="1F2A5E56" w14:textId="35663C1F" w:rsidR="00FF5CC6" w:rsidRPr="000465CC" w:rsidRDefault="00411E42" w:rsidP="00ED605A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0"/>
              </w:rPr>
            </w:pPr>
            <w:r w:rsidRPr="000465CC">
              <w:rPr>
                <w:rFonts w:cstheme="minorHAnsi"/>
                <w:sz w:val="20"/>
              </w:rPr>
              <w:lastRenderedPageBreak/>
              <w:t xml:space="preserve">W związku z zawarciem przez Dewelopera </w:t>
            </w:r>
            <w:r w:rsidR="00ED605A" w:rsidRPr="000465CC">
              <w:rPr>
                <w:rFonts w:cstheme="minorHAnsi"/>
                <w:sz w:val="20"/>
              </w:rPr>
              <w:t xml:space="preserve">(Kredytobiorcy) </w:t>
            </w:r>
            <w:r w:rsidRPr="000465CC">
              <w:rPr>
                <w:rFonts w:cstheme="minorHAnsi"/>
                <w:sz w:val="20"/>
              </w:rPr>
              <w:t xml:space="preserve">Umowy Kredytowej nr U0003855663778 </w:t>
            </w:r>
            <w:r w:rsidR="000F7434" w:rsidRPr="000465CC">
              <w:rPr>
                <w:rFonts w:cstheme="minorHAnsi"/>
                <w:sz w:val="20"/>
              </w:rPr>
              <w:t>w</w:t>
            </w:r>
            <w:r w:rsidRPr="000465CC">
              <w:rPr>
                <w:rFonts w:cstheme="minorHAnsi"/>
                <w:sz w:val="20"/>
              </w:rPr>
              <w:t xml:space="preserve"> dni</w:t>
            </w:r>
            <w:r w:rsidR="000F7434" w:rsidRPr="000465CC">
              <w:rPr>
                <w:rFonts w:cstheme="minorHAnsi"/>
                <w:sz w:val="20"/>
              </w:rPr>
              <w:t>u</w:t>
            </w:r>
            <w:r w:rsidRPr="000465CC">
              <w:rPr>
                <w:rFonts w:cstheme="minorHAnsi"/>
                <w:sz w:val="20"/>
              </w:rPr>
              <w:t xml:space="preserve"> 18 lipca 2025 r. oraz Umowy Kredytowej nr U0003855723359 </w:t>
            </w:r>
            <w:r w:rsidR="000F7434" w:rsidRPr="000465CC">
              <w:rPr>
                <w:rFonts w:cstheme="minorHAnsi"/>
                <w:sz w:val="20"/>
              </w:rPr>
              <w:t>w</w:t>
            </w:r>
            <w:r w:rsidRPr="000465CC">
              <w:rPr>
                <w:rFonts w:cstheme="minorHAnsi"/>
                <w:sz w:val="20"/>
              </w:rPr>
              <w:t xml:space="preserve"> </w:t>
            </w:r>
            <w:r w:rsidRPr="000465CC">
              <w:rPr>
                <w:rFonts w:cstheme="minorHAnsi"/>
                <w:sz w:val="20"/>
              </w:rPr>
              <w:lastRenderedPageBreak/>
              <w:t>dni</w:t>
            </w:r>
            <w:r w:rsidR="000F7434" w:rsidRPr="000465CC">
              <w:rPr>
                <w:rFonts w:cstheme="minorHAnsi"/>
                <w:sz w:val="20"/>
              </w:rPr>
              <w:t>u</w:t>
            </w:r>
            <w:r w:rsidRPr="000465CC">
              <w:rPr>
                <w:rFonts w:cstheme="minorHAnsi"/>
                <w:sz w:val="20"/>
              </w:rPr>
              <w:t xml:space="preserve"> 18 lipca 2025 r., została ustanowiona hipoteka umowna łączna do kwoty 67.580.520,00 PLN na przysługującym Kredytobiorcy prawie własności nieruchomości. </w:t>
            </w:r>
          </w:p>
        </w:tc>
      </w:tr>
      <w:tr w:rsidR="00EA1C22" w:rsidRPr="009152E8" w14:paraId="479D988F" w14:textId="77777777" w:rsidTr="005323C5">
        <w:trPr>
          <w:trHeight w:val="97"/>
        </w:trPr>
        <w:tc>
          <w:tcPr>
            <w:tcW w:w="1932" w:type="dxa"/>
            <w:shd w:val="clear" w:color="auto" w:fill="F3F3F3"/>
          </w:tcPr>
          <w:p w14:paraId="213C5233" w14:textId="77777777" w:rsidR="00EA1C22" w:rsidRPr="009152E8" w:rsidRDefault="00EA1C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lastRenderedPageBreak/>
              <w:t>W przypadku braku księgi wieczystej informacja o powierzchni działki i stanie prawnym nieruchomości</w:t>
            </w:r>
            <w:r w:rsidRPr="009152E8">
              <w:rPr>
                <w:rFonts w:eastAsia="Times New Roman" w:cstheme="minorHAnsi"/>
                <w:sz w:val="20"/>
                <w:szCs w:val="20"/>
                <w:vertAlign w:val="superscript"/>
              </w:rPr>
              <w:footnoteReference w:customMarkFollows="1" w:id="3"/>
              <w:t>2)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  <w:gridSpan w:val="4"/>
          </w:tcPr>
          <w:p w14:paraId="222A30C4" w14:textId="07140E20" w:rsidR="00EA1C22" w:rsidRPr="009152E8" w:rsidRDefault="00B02A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EA1C22" w:rsidRPr="009152E8" w14:paraId="14763837" w14:textId="77777777" w:rsidTr="005323C5">
        <w:trPr>
          <w:trHeight w:val="2423"/>
        </w:trPr>
        <w:tc>
          <w:tcPr>
            <w:tcW w:w="1932" w:type="dxa"/>
            <w:shd w:val="clear" w:color="auto" w:fill="F3F3F3"/>
          </w:tcPr>
          <w:p w14:paraId="081D6592" w14:textId="1B3FD93D" w:rsidR="00EA1C22" w:rsidRPr="009152E8" w:rsidRDefault="00EA1C22" w:rsidP="005A6516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Informacje dotyczące obiektów istniejących położonych w sąsiedztwie inwestycji i wpływających na warunki życia</w:t>
            </w:r>
            <w:r w:rsidRPr="009152E8">
              <w:rPr>
                <w:rFonts w:eastAsia="Times New Roman" w:cstheme="minorHAnsi"/>
                <w:sz w:val="20"/>
                <w:szCs w:val="20"/>
                <w:vertAlign w:val="superscript"/>
              </w:rPr>
              <w:footnoteReference w:customMarkFollows="1" w:id="4"/>
              <w:t>3)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  <w:gridSpan w:val="4"/>
            <w:vAlign w:val="center"/>
          </w:tcPr>
          <w:p w14:paraId="5366D4E8" w14:textId="77777777" w:rsidR="009D6CE1" w:rsidRPr="009152E8" w:rsidRDefault="0072255C" w:rsidP="00B15E63">
            <w:pPr>
              <w:spacing w:beforeLines="60" w:before="144"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152E8">
              <w:rPr>
                <w:rFonts w:eastAsia="Calibri" w:cstheme="minorHAnsi"/>
                <w:sz w:val="20"/>
                <w:szCs w:val="20"/>
              </w:rPr>
              <w:t>Na terenach sąsiednich znajduje się zabudowa jednorodzinna i wielorodzinna o niskiej intensywności.</w:t>
            </w:r>
          </w:p>
          <w:p w14:paraId="778320AB" w14:textId="77777777" w:rsidR="0072255C" w:rsidRPr="009152E8" w:rsidRDefault="0072255C" w:rsidP="00B15E63">
            <w:pPr>
              <w:spacing w:beforeLines="60" w:before="144"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152E8">
              <w:rPr>
                <w:rFonts w:eastAsia="Calibri" w:cstheme="minorHAnsi"/>
                <w:sz w:val="20"/>
                <w:szCs w:val="20"/>
              </w:rPr>
              <w:t>Ewentualne obiekty mogące generować hałas/ uciążliwości:</w:t>
            </w:r>
          </w:p>
          <w:p w14:paraId="7B9DC15E" w14:textId="681E13E8" w:rsidR="0072255C" w:rsidRPr="009152E8" w:rsidRDefault="0072255C" w:rsidP="00B15E63">
            <w:pPr>
              <w:pStyle w:val="Akapitzlist"/>
              <w:numPr>
                <w:ilvl w:val="0"/>
                <w:numId w:val="18"/>
              </w:numPr>
              <w:spacing w:beforeLines="60" w:before="144" w:line="240" w:lineRule="auto"/>
              <w:ind w:left="714" w:hanging="357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eastAsia="Calibri" w:hAnsiTheme="minorHAnsi" w:cstheme="minorHAnsi"/>
                <w:sz w:val="20"/>
              </w:rPr>
              <w:t>Droga publiczna – ul. Stelmachów, ul. Łokietka</w:t>
            </w:r>
            <w:r w:rsidR="00017037" w:rsidRPr="009152E8">
              <w:rPr>
                <w:rFonts w:asciiTheme="minorHAnsi" w:eastAsia="Calibri" w:hAnsiTheme="minorHAnsi" w:cstheme="minorHAnsi"/>
                <w:sz w:val="20"/>
              </w:rPr>
              <w:t>, droga krajowa – ul. J. Conrada</w:t>
            </w:r>
          </w:p>
          <w:p w14:paraId="42A853DF" w14:textId="46B15C2C" w:rsidR="0072255C" w:rsidRPr="009152E8" w:rsidRDefault="0072255C" w:rsidP="00B15E63">
            <w:pPr>
              <w:pStyle w:val="Akapitzlist"/>
              <w:numPr>
                <w:ilvl w:val="0"/>
                <w:numId w:val="18"/>
              </w:numPr>
              <w:spacing w:beforeLines="60" w:before="144" w:line="240" w:lineRule="auto"/>
              <w:ind w:left="714" w:hanging="357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eastAsia="Calibri" w:hAnsiTheme="minorHAnsi" w:cstheme="minorHAnsi"/>
                <w:sz w:val="20"/>
              </w:rPr>
              <w:t>Kościół Chrystusa Odkupiciela Człowieka w Krakowie – ul. Stelmachów 37</w:t>
            </w:r>
          </w:p>
          <w:p w14:paraId="2EBD27D8" w14:textId="7FFD272B" w:rsidR="0072255C" w:rsidRPr="009152E8" w:rsidRDefault="0072255C" w:rsidP="00B15E63">
            <w:pPr>
              <w:pStyle w:val="Akapitzlist"/>
              <w:numPr>
                <w:ilvl w:val="0"/>
                <w:numId w:val="18"/>
              </w:numPr>
              <w:spacing w:beforeLines="60" w:before="144" w:line="240" w:lineRule="auto"/>
              <w:ind w:left="714" w:hanging="357"/>
              <w:rPr>
                <w:rFonts w:asciiTheme="minorHAnsi" w:eastAsia="Calibri" w:hAnsiTheme="minorHAnsi" w:cstheme="minorHAnsi"/>
                <w:sz w:val="20"/>
                <w:lang w:val="en-GB"/>
              </w:rPr>
            </w:pPr>
            <w:r w:rsidRPr="009152E8">
              <w:rPr>
                <w:rFonts w:asciiTheme="minorHAnsi" w:eastAsia="Calibri" w:hAnsiTheme="minorHAnsi" w:cstheme="minorHAnsi"/>
                <w:sz w:val="20"/>
              </w:rPr>
              <w:t xml:space="preserve">Katolicka Szkoła Podstawowa im. św. </w:t>
            </w:r>
            <w:r w:rsidRPr="009152E8">
              <w:rPr>
                <w:rFonts w:asciiTheme="minorHAnsi" w:eastAsia="Calibri" w:hAnsiTheme="minorHAnsi" w:cstheme="minorHAnsi"/>
                <w:sz w:val="20"/>
                <w:lang w:val="en-GB"/>
              </w:rPr>
              <w:t>Joanny Beretty Molli – ul.</w:t>
            </w:r>
            <w:r w:rsidR="00FC09C5" w:rsidRPr="009152E8">
              <w:rPr>
                <w:rFonts w:asciiTheme="minorHAnsi" w:eastAsia="Calibri" w:hAnsiTheme="minorHAnsi" w:cstheme="minorHAnsi"/>
                <w:sz w:val="20"/>
                <w:lang w:val="en-GB"/>
              </w:rPr>
              <w:t xml:space="preserve"> </w:t>
            </w:r>
            <w:proofErr w:type="spellStart"/>
            <w:r w:rsidRPr="009152E8">
              <w:rPr>
                <w:rFonts w:asciiTheme="minorHAnsi" w:eastAsia="Calibri" w:hAnsiTheme="minorHAnsi" w:cstheme="minorHAnsi"/>
                <w:sz w:val="20"/>
                <w:lang w:val="en-GB"/>
              </w:rPr>
              <w:t>Stelmachów</w:t>
            </w:r>
            <w:proofErr w:type="spellEnd"/>
            <w:r w:rsidRPr="009152E8">
              <w:rPr>
                <w:rFonts w:asciiTheme="minorHAnsi" w:eastAsia="Calibri" w:hAnsiTheme="minorHAnsi" w:cstheme="minorHAnsi"/>
                <w:sz w:val="20"/>
                <w:lang w:val="en-GB"/>
              </w:rPr>
              <w:t xml:space="preserve"> 137</w:t>
            </w:r>
          </w:p>
          <w:p w14:paraId="0EA97889" w14:textId="77777777" w:rsidR="0072255C" w:rsidRPr="009152E8" w:rsidRDefault="0072255C" w:rsidP="00B15E63">
            <w:pPr>
              <w:pStyle w:val="Akapitzlist"/>
              <w:numPr>
                <w:ilvl w:val="0"/>
                <w:numId w:val="18"/>
              </w:numPr>
              <w:spacing w:beforeLines="60" w:before="144" w:line="240" w:lineRule="auto"/>
              <w:ind w:left="714" w:hanging="357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eastAsia="Calibri" w:hAnsiTheme="minorHAnsi" w:cstheme="minorHAnsi"/>
                <w:sz w:val="20"/>
              </w:rPr>
              <w:t xml:space="preserve">Sklepy wielkopowierzchniowe: Galeria Bronowice, IKEA, </w:t>
            </w:r>
            <w:proofErr w:type="spellStart"/>
            <w:r w:rsidRPr="009152E8">
              <w:rPr>
                <w:rFonts w:asciiTheme="minorHAnsi" w:eastAsia="Calibri" w:hAnsiTheme="minorHAnsi" w:cstheme="minorHAnsi"/>
                <w:sz w:val="20"/>
              </w:rPr>
              <w:t>Castorama</w:t>
            </w:r>
            <w:proofErr w:type="spellEnd"/>
            <w:r w:rsidRPr="009152E8">
              <w:rPr>
                <w:rFonts w:asciiTheme="minorHAnsi" w:eastAsia="Calibri" w:hAnsiTheme="minorHAnsi" w:cstheme="minorHAnsi"/>
                <w:sz w:val="20"/>
              </w:rPr>
              <w:t>, Makro, OBI</w:t>
            </w:r>
          </w:p>
          <w:p w14:paraId="593AF84A" w14:textId="77777777" w:rsidR="0072255C" w:rsidRPr="009152E8" w:rsidRDefault="0072255C" w:rsidP="00B15E63">
            <w:pPr>
              <w:pStyle w:val="Akapitzlist"/>
              <w:numPr>
                <w:ilvl w:val="0"/>
                <w:numId w:val="18"/>
              </w:numPr>
              <w:spacing w:beforeLines="60" w:before="144" w:line="240" w:lineRule="auto"/>
              <w:ind w:left="714" w:hanging="357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eastAsia="Calibri" w:hAnsiTheme="minorHAnsi" w:cstheme="minorHAnsi"/>
                <w:sz w:val="20"/>
              </w:rPr>
              <w:t xml:space="preserve">Droga nalotu do Lotniska Kraków </w:t>
            </w:r>
            <w:proofErr w:type="spellStart"/>
            <w:r w:rsidRPr="009152E8">
              <w:rPr>
                <w:rFonts w:asciiTheme="minorHAnsi" w:eastAsia="Calibri" w:hAnsiTheme="minorHAnsi" w:cstheme="minorHAnsi"/>
                <w:sz w:val="20"/>
              </w:rPr>
              <w:t>Airport</w:t>
            </w:r>
            <w:proofErr w:type="spellEnd"/>
          </w:p>
          <w:p w14:paraId="6BD80439" w14:textId="452B43B4" w:rsidR="0072255C" w:rsidRPr="009152E8" w:rsidRDefault="00B15E63" w:rsidP="00B15E63">
            <w:pPr>
              <w:pStyle w:val="Akapitzlist"/>
              <w:numPr>
                <w:ilvl w:val="0"/>
                <w:numId w:val="18"/>
              </w:numPr>
              <w:spacing w:beforeLines="60" w:before="144" w:line="240" w:lineRule="auto"/>
              <w:ind w:left="714" w:hanging="357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eastAsia="Calibri" w:hAnsiTheme="minorHAnsi" w:cstheme="minorHAnsi"/>
                <w:sz w:val="20"/>
              </w:rPr>
              <w:t>Linia</w:t>
            </w:r>
            <w:r w:rsidR="0072255C" w:rsidRPr="009152E8">
              <w:rPr>
                <w:rFonts w:asciiTheme="minorHAnsi" w:eastAsia="Calibri" w:hAnsiTheme="minorHAnsi" w:cstheme="minorHAnsi"/>
                <w:sz w:val="20"/>
              </w:rPr>
              <w:t xml:space="preserve"> kolejowa </w:t>
            </w:r>
            <w:r w:rsidRPr="009152E8">
              <w:rPr>
                <w:rFonts w:asciiTheme="minorHAnsi" w:eastAsia="Calibri" w:hAnsiTheme="minorHAnsi" w:cstheme="minorHAnsi"/>
                <w:sz w:val="20"/>
              </w:rPr>
              <w:t xml:space="preserve">nr 95 </w:t>
            </w:r>
            <w:proofErr w:type="spellStart"/>
            <w:r w:rsidRPr="009152E8">
              <w:rPr>
                <w:rFonts w:asciiTheme="minorHAnsi" w:eastAsia="Calibri" w:hAnsiTheme="minorHAnsi" w:cstheme="minorHAnsi"/>
                <w:sz w:val="20"/>
              </w:rPr>
              <w:t>Mydlniki</w:t>
            </w:r>
            <w:proofErr w:type="spellEnd"/>
            <w:r w:rsidRPr="009152E8">
              <w:rPr>
                <w:rFonts w:asciiTheme="minorHAnsi" w:eastAsia="Calibri" w:hAnsiTheme="minorHAnsi" w:cstheme="minorHAnsi"/>
                <w:sz w:val="20"/>
              </w:rPr>
              <w:t xml:space="preserve"> – Podłęże</w:t>
            </w:r>
          </w:p>
          <w:p w14:paraId="6B0E08D8" w14:textId="4AF518CE" w:rsidR="00B15E63" w:rsidRPr="009152E8" w:rsidRDefault="00B15E63" w:rsidP="00B15E63">
            <w:pPr>
              <w:pStyle w:val="Akapitzlist"/>
              <w:spacing w:line="240" w:lineRule="auto"/>
              <w:ind w:left="714"/>
              <w:rPr>
                <w:rFonts w:asciiTheme="minorHAnsi" w:eastAsia="Calibri" w:hAnsiTheme="minorHAnsi" w:cstheme="minorHAnsi"/>
                <w:sz w:val="20"/>
              </w:rPr>
            </w:pPr>
          </w:p>
        </w:tc>
      </w:tr>
      <w:tr w:rsidR="00A26057" w:rsidRPr="009152E8" w14:paraId="57D2F008" w14:textId="77777777" w:rsidTr="005323C5">
        <w:trPr>
          <w:trHeight w:val="1120"/>
        </w:trPr>
        <w:tc>
          <w:tcPr>
            <w:tcW w:w="1932" w:type="dxa"/>
            <w:vMerge w:val="restart"/>
            <w:shd w:val="clear" w:color="auto" w:fill="F3F3F3"/>
          </w:tcPr>
          <w:p w14:paraId="16573F45" w14:textId="77777777" w:rsidR="00A26057" w:rsidRPr="009152E8" w:rsidRDefault="00A26057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Akty planowania przestrzennego i inne akty prawne na podstawie przepisów odrębnych na terenie objętym przedsięwzięciem deweloperskim lub zadaniem inwestycyjnym</w:t>
            </w:r>
          </w:p>
          <w:p w14:paraId="2C22F0C4" w14:textId="77777777" w:rsidR="00A26057" w:rsidRPr="009152E8" w:rsidRDefault="00A26057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91" w:type="dxa"/>
          </w:tcPr>
          <w:p w14:paraId="537B599B" w14:textId="539F20E3" w:rsidR="00A26057" w:rsidRPr="009152E8" w:rsidRDefault="00A26057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Plan ogólny gminy</w:t>
            </w:r>
          </w:p>
        </w:tc>
        <w:tc>
          <w:tcPr>
            <w:tcW w:w="5811" w:type="dxa"/>
            <w:gridSpan w:val="3"/>
            <w:vMerge w:val="restart"/>
          </w:tcPr>
          <w:p w14:paraId="00BA4A51" w14:textId="77777777" w:rsidR="00A26057" w:rsidRPr="009152E8" w:rsidRDefault="00A26057" w:rsidP="00EC0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C2EF6A" w14:textId="0380523F" w:rsidR="00A26057" w:rsidRPr="009152E8" w:rsidRDefault="00A26057" w:rsidP="005F3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Uchwała nr XCVII/2493/18 Rady Miasta Krakowa</w:t>
            </w:r>
            <w:r w:rsidR="005F3EF5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 xml:space="preserve">z dnia 14 marca 2018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r.w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 sprawie uchwalenia miejscowego planu zagospodarowania przestrzennego obszaru „Bronowice - Stelmachów”.</w:t>
            </w:r>
          </w:p>
          <w:p w14:paraId="1D98043D" w14:textId="1936B951" w:rsidR="00A26057" w:rsidRPr="009152E8" w:rsidRDefault="005F3EF5" w:rsidP="005F3EF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152E8"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shd w:val="clear" w:color="auto" w:fill="FFFFFF"/>
                <w:lang w:eastAsia="en-US"/>
              </w:rPr>
              <w:t>U</w:t>
            </w:r>
            <w:r w:rsidR="00A26057" w:rsidRPr="009152E8"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shd w:val="clear" w:color="auto" w:fill="FFFFFF"/>
                <w:lang w:eastAsia="en-US"/>
              </w:rPr>
              <w:t>chwała ogłoszona w Dzienniku Urzędowym Województwa Małopolskiego z dnia 23 marca 2018 r., poz. 2238 </w:t>
            </w:r>
            <w:hyperlink r:id="rId9" w:anchor="/legalact/2018/2238/" w:tgtFrame="_blank" w:history="1">
              <w:r w:rsidR="00A26057" w:rsidRPr="009152E8">
                <w:rPr>
                  <w:rFonts w:asciiTheme="minorHAnsi" w:eastAsiaTheme="minorHAnsi" w:hAnsiTheme="minorHAnsi" w:cstheme="minorHAnsi"/>
                  <w:color w:val="0064A7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(Odnośnik do strony edziennik.malopolska.uw.gov.pl)</w:t>
              </w:r>
            </w:hyperlink>
            <w:r w:rsidR="00A26057" w:rsidRPr="009152E8"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shd w:val="clear" w:color="auto" w:fill="FFFFFF"/>
                <w:lang w:eastAsia="en-US"/>
              </w:rPr>
              <w:t>, weszła w życie w dniu 7 kwietnia 2018 r.</w:t>
            </w:r>
          </w:p>
          <w:p w14:paraId="15D14A99" w14:textId="6BE7675B" w:rsidR="00A26057" w:rsidRPr="009152E8" w:rsidRDefault="00A26057" w:rsidP="005B5FAE">
            <w:pPr>
              <w:pStyle w:val="Default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ED845B9" w14:textId="77777777" w:rsidR="00A26057" w:rsidRPr="009152E8" w:rsidRDefault="00A26057" w:rsidP="005B5FAE">
            <w:pPr>
              <w:pStyle w:val="Default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E29774F" w14:textId="319AE695" w:rsidR="00A26057" w:rsidRPr="009152E8" w:rsidRDefault="00A26057" w:rsidP="00EC07B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057" w:rsidRPr="009152E8" w14:paraId="6F2D3215" w14:textId="77777777" w:rsidTr="005323C5">
        <w:trPr>
          <w:trHeight w:val="969"/>
        </w:trPr>
        <w:tc>
          <w:tcPr>
            <w:tcW w:w="1932" w:type="dxa"/>
            <w:vMerge/>
            <w:shd w:val="clear" w:color="auto" w:fill="F3F3F3"/>
          </w:tcPr>
          <w:p w14:paraId="2A5D0A27" w14:textId="77777777" w:rsidR="00A26057" w:rsidRPr="009152E8" w:rsidRDefault="00A26057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4E5B31FD" w14:textId="77777777" w:rsidR="00A26057" w:rsidRPr="009152E8" w:rsidRDefault="00A26057" w:rsidP="00EA1C22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5811" w:type="dxa"/>
            <w:gridSpan w:val="3"/>
            <w:vMerge/>
          </w:tcPr>
          <w:p w14:paraId="1B999D1D" w14:textId="77777777" w:rsidR="00A26057" w:rsidRPr="009152E8" w:rsidRDefault="00A26057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A1C22" w:rsidRPr="009152E8" w14:paraId="71204D2D" w14:textId="77777777" w:rsidTr="005323C5">
        <w:trPr>
          <w:trHeight w:val="317"/>
        </w:trPr>
        <w:tc>
          <w:tcPr>
            <w:tcW w:w="1932" w:type="dxa"/>
            <w:vMerge/>
            <w:shd w:val="clear" w:color="auto" w:fill="F3F3F3"/>
          </w:tcPr>
          <w:p w14:paraId="3226A4E3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0F907036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5811" w:type="dxa"/>
            <w:gridSpan w:val="3"/>
            <w:vMerge/>
          </w:tcPr>
          <w:p w14:paraId="332D6FA1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A1C22" w:rsidRPr="009152E8" w14:paraId="22116D7C" w14:textId="77777777" w:rsidTr="005323C5">
        <w:trPr>
          <w:trHeight w:val="317"/>
        </w:trPr>
        <w:tc>
          <w:tcPr>
            <w:tcW w:w="1932" w:type="dxa"/>
            <w:vMerge/>
            <w:shd w:val="clear" w:color="auto" w:fill="F3F3F3"/>
          </w:tcPr>
          <w:p w14:paraId="7F3DA171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7A67740B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Inne</w:t>
            </w:r>
            <w:r w:rsidRPr="009152E8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footnoteReference w:customMarkFollows="1" w:id="5"/>
              <w:t>4)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1" w:type="dxa"/>
            <w:gridSpan w:val="3"/>
            <w:vMerge/>
          </w:tcPr>
          <w:p w14:paraId="6DDBBDE8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A1C22" w:rsidRPr="009152E8" w14:paraId="20CE382C" w14:textId="77777777" w:rsidTr="005323C5">
        <w:trPr>
          <w:trHeight w:val="60"/>
        </w:trPr>
        <w:tc>
          <w:tcPr>
            <w:tcW w:w="1932" w:type="dxa"/>
            <w:vMerge w:val="restart"/>
            <w:shd w:val="clear" w:color="auto" w:fill="F3F3F3"/>
          </w:tcPr>
          <w:p w14:paraId="11A1FFCC" w14:textId="2DADD9C8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Ustalenia obowiązującego miejscowego planu 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zagospodarowania przestrzennego dla terenu objętego przedsięwzięciem deweloperskim lub zadaniem inwestycyjnym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0EDEEF1B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987A8EA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Przeznaczenie terenu</w:t>
            </w:r>
          </w:p>
        </w:tc>
        <w:tc>
          <w:tcPr>
            <w:tcW w:w="5811" w:type="dxa"/>
            <w:gridSpan w:val="3"/>
          </w:tcPr>
          <w:p w14:paraId="0467E524" w14:textId="3E988C54" w:rsidR="00EA1C22" w:rsidRPr="009152E8" w:rsidRDefault="00482F74" w:rsidP="009260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MN/MWn.17 – Tereny zabudowy mieszkaniowej jednorodzinnej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 wielorodzinnej niskiej intensywności, o podstawowym przeznaczeniu pod zabudowę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jednorodzinną lub pod zabudowę budynkami mieszkalnymi wielorodzinnymi</w:t>
            </w:r>
            <w:r w:rsidR="00D67BB3" w:rsidRPr="009152E8">
              <w:rPr>
                <w:rFonts w:cstheme="minorHAnsi"/>
                <w:sz w:val="20"/>
                <w:szCs w:val="20"/>
              </w:rPr>
              <w:t xml:space="preserve"> o</w:t>
            </w:r>
            <w:r w:rsidRPr="009152E8">
              <w:rPr>
                <w:rFonts w:cstheme="minorHAnsi"/>
                <w:sz w:val="20"/>
                <w:szCs w:val="20"/>
              </w:rPr>
              <w:t xml:space="preserve"> niskiej intensywności.</w:t>
            </w:r>
            <w:r w:rsidR="00D67BB3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="00D67BB3" w:rsidRPr="009152E8">
              <w:rPr>
                <w:rFonts w:cstheme="minorHAnsi"/>
                <w:sz w:val="20"/>
                <w:szCs w:val="20"/>
              </w:rPr>
              <w:lastRenderedPageBreak/>
              <w:t xml:space="preserve">Zdecydowana część terenu leży w obszarze objętym strefą powiązań ekologicznych i </w:t>
            </w:r>
            <w:r w:rsidR="0092602E" w:rsidRPr="009152E8">
              <w:rPr>
                <w:rFonts w:cstheme="minorHAnsi"/>
                <w:sz w:val="20"/>
                <w:szCs w:val="20"/>
              </w:rPr>
              <w:t>p</w:t>
            </w:r>
            <w:r w:rsidR="00D67BB3" w:rsidRPr="009152E8">
              <w:rPr>
                <w:rFonts w:cstheme="minorHAnsi"/>
                <w:sz w:val="20"/>
                <w:szCs w:val="20"/>
              </w:rPr>
              <w:t>rzewietrzania.</w:t>
            </w:r>
          </w:p>
        </w:tc>
      </w:tr>
      <w:tr w:rsidR="00EA1C22" w:rsidRPr="009152E8" w14:paraId="2F535006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224DBC43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B3C2CBC" w14:textId="0B0E0F50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intensywność zabudowy</w:t>
            </w:r>
          </w:p>
        </w:tc>
        <w:tc>
          <w:tcPr>
            <w:tcW w:w="5811" w:type="dxa"/>
            <w:gridSpan w:val="3"/>
          </w:tcPr>
          <w:p w14:paraId="6E8CEC54" w14:textId="4052E893" w:rsidR="00EA1C22" w:rsidRPr="009152E8" w:rsidRDefault="005F3EF5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Wskaźnik intensywności zabudowy </w:t>
            </w:r>
            <w:r w:rsidR="00C90DE2" w:rsidRPr="009152E8">
              <w:rPr>
                <w:rFonts w:eastAsia="Times New Roman" w:cstheme="minorHAnsi"/>
                <w:sz w:val="20"/>
                <w:szCs w:val="20"/>
              </w:rPr>
              <w:t>0,1-1</w:t>
            </w:r>
          </w:p>
        </w:tc>
      </w:tr>
      <w:tr w:rsidR="000A17DC" w:rsidRPr="009152E8" w14:paraId="044904CC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604250CA" w14:textId="77777777" w:rsidR="000A17DC" w:rsidRPr="009152E8" w:rsidRDefault="000A17DC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B2250CA" w14:textId="5B31E55E" w:rsidR="000A17DC" w:rsidRPr="009152E8" w:rsidRDefault="00255FBA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i minimalna nadziemna intensywność zabudowy</w:t>
            </w:r>
          </w:p>
        </w:tc>
        <w:tc>
          <w:tcPr>
            <w:tcW w:w="5811" w:type="dxa"/>
            <w:gridSpan w:val="3"/>
          </w:tcPr>
          <w:p w14:paraId="1E823571" w14:textId="41A5FB98" w:rsidR="000A17DC" w:rsidRPr="009152E8" w:rsidRDefault="005F3EF5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Wskaźnik intensywności zabudowy 0,1-1</w:t>
            </w:r>
          </w:p>
        </w:tc>
      </w:tr>
      <w:tr w:rsidR="00255FBA" w:rsidRPr="009152E8" w14:paraId="6B82F9C1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4927A3DD" w14:textId="77777777" w:rsidR="00255FBA" w:rsidRPr="009152E8" w:rsidRDefault="00255FBA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0C63C51" w14:textId="15AFFBE2" w:rsidR="00255FBA" w:rsidRPr="009152E8" w:rsidRDefault="001A67FF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powierzchnia zabudowy</w:t>
            </w:r>
          </w:p>
        </w:tc>
        <w:tc>
          <w:tcPr>
            <w:tcW w:w="5811" w:type="dxa"/>
            <w:gridSpan w:val="3"/>
          </w:tcPr>
          <w:p w14:paraId="2004998A" w14:textId="2EC7533A" w:rsidR="0096662B" w:rsidRPr="009152E8" w:rsidRDefault="0096662B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 terenie objętym strefą powiązań ekologicznych i przewietrzania:</w:t>
            </w:r>
            <w:r w:rsidR="0092602E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25%</w:t>
            </w:r>
          </w:p>
        </w:tc>
      </w:tr>
      <w:tr w:rsidR="00EA1C22" w:rsidRPr="009152E8" w14:paraId="5150E5D6" w14:textId="77777777" w:rsidTr="005323C5">
        <w:trPr>
          <w:trHeight w:val="1416"/>
        </w:trPr>
        <w:tc>
          <w:tcPr>
            <w:tcW w:w="1932" w:type="dxa"/>
            <w:vMerge/>
            <w:shd w:val="clear" w:color="auto" w:fill="F3F3F3"/>
          </w:tcPr>
          <w:p w14:paraId="2A31B33F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FB65326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5811" w:type="dxa"/>
            <w:gridSpan w:val="3"/>
          </w:tcPr>
          <w:p w14:paraId="6B675716" w14:textId="2173C4E4" w:rsidR="00AD1040" w:rsidRPr="009152E8" w:rsidRDefault="00D67BB3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 terenie objętym strefą powiązań ekologicznych i przewietrzania: 9m,</w:t>
            </w:r>
            <w:r w:rsidR="00C90DE2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d</w:t>
            </w:r>
            <w:r w:rsidR="00AD1040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la terenu nie objętego strefą powiązań ekologicznych i przewietrzania: 12 m</w:t>
            </w:r>
          </w:p>
          <w:p w14:paraId="20A0BBCA" w14:textId="6476A41A" w:rsidR="00D67BB3" w:rsidRPr="009152E8" w:rsidRDefault="00D67BB3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EA1C22" w:rsidRPr="009152E8" w14:paraId="67346658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278E1816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13ED990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5811" w:type="dxa"/>
            <w:gridSpan w:val="3"/>
          </w:tcPr>
          <w:p w14:paraId="332D2D6C" w14:textId="6AE4D126" w:rsidR="00AD1040" w:rsidRPr="009152E8" w:rsidRDefault="0096662B" w:rsidP="00C90DE2">
            <w:pPr>
              <w:spacing w:beforeLines="60" w:before="144" w:afterLines="60" w:after="144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 terenie objętym strefą powiązań ekologicznych i przewietrzania: 60%</w:t>
            </w:r>
            <w:r w:rsidR="00AD1040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,</w:t>
            </w:r>
            <w:r w:rsidR="00C90DE2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d</w:t>
            </w:r>
            <w:r w:rsidR="00AD1040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la terenu nie objętego strefą powiązań ekologicznych i przewietrzania: 40%</w:t>
            </w:r>
          </w:p>
        </w:tc>
      </w:tr>
      <w:tr w:rsidR="00EA1C22" w:rsidRPr="009152E8" w14:paraId="033DF93F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60471D33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23382890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5811" w:type="dxa"/>
            <w:gridSpan w:val="3"/>
          </w:tcPr>
          <w:p w14:paraId="3C78D988" w14:textId="6DD2C899" w:rsidR="00EA1C22" w:rsidRPr="009152E8" w:rsidRDefault="00C815E7" w:rsidP="00C815E7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1,2 miejsca na 1 mieszkanie</w:t>
            </w:r>
          </w:p>
        </w:tc>
      </w:tr>
      <w:tr w:rsidR="00EA1C22" w:rsidRPr="009152E8" w14:paraId="5E7BFD04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7B8F9A42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F1DD4E8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5811" w:type="dxa"/>
            <w:gridSpan w:val="3"/>
          </w:tcPr>
          <w:p w14:paraId="2AA5A97C" w14:textId="1ABA0630" w:rsidR="00AD1040" w:rsidRPr="009152E8" w:rsidRDefault="00AD1040" w:rsidP="00E87248">
            <w:pPr>
              <w:autoSpaceDE w:val="0"/>
              <w:autoSpaceDN w:val="0"/>
              <w:adjustRightInd w:val="0"/>
              <w:spacing w:beforeLines="60" w:before="144"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§ 8. 1. W obszarze objętym granicami planu znajduje się pomnik przyrody – dąb szypułkowy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ustanowiony rozporządzeniem Nr 31 Wojewody Krakowskiego z dnia 16 listopada 1998 r., rosnący</w:t>
            </w:r>
          </w:p>
          <w:p w14:paraId="3063BA43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przy ul. Chełmońskiego 168 na działce nr 1251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obr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. 33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Krowodrza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>.</w:t>
            </w:r>
          </w:p>
          <w:p w14:paraId="25CF91C4" w14:textId="071551F4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2. W zakresie ochrony akustycznej, należy uwzględniać – odpowiednio do rodzaju terenów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określonych w przepisach odrębnych - następujące tereny faktycznie zagospodarowane zgodnie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ustaleniami planu:</w:t>
            </w:r>
          </w:p>
          <w:p w14:paraId="381E2815" w14:textId="57F5B683" w:rsidR="00AD1040" w:rsidRPr="009152E8" w:rsidRDefault="009279BB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</w:t>
            </w:r>
            <w:r w:rsidR="00AD1040" w:rsidRPr="009152E8">
              <w:rPr>
                <w:rFonts w:cstheme="minorHAnsi"/>
                <w:sz w:val="20"/>
                <w:szCs w:val="20"/>
              </w:rPr>
              <w:t>) w terenach zabudowy mieszkaniowej jednorodzinnej i wielorodzinnej niskiej intensywności –oznaczonych symbolami MN/MWn.1 - MN/MWn.19 jako tereny „pod zabudowę</w:t>
            </w:r>
          </w:p>
          <w:p w14:paraId="77F470D6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mieszkaniową”.</w:t>
            </w:r>
          </w:p>
          <w:p w14:paraId="604D971C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3. Ustala się następujące zasady kształtowania i urządzania zieleni:</w:t>
            </w:r>
          </w:p>
          <w:p w14:paraId="0ABCFE1B" w14:textId="08AF8B8F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podczas realizacji zagospodarowania terenów obowiązuje maksymalnie możliwa ochrona zieleni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istniejącej, szczególnie poprzez jej zachowanie i wkomponowanie w zagospodarowanie terenu;</w:t>
            </w:r>
          </w:p>
          <w:p w14:paraId="0F6CFB3F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2) dopuszcza się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rekompozycję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 zieleni.</w:t>
            </w:r>
          </w:p>
          <w:p w14:paraId="35BA029E" w14:textId="2A298CC2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5. Na rysunku planu oznacza się </w:t>
            </w:r>
            <w:r w:rsidRPr="009152E8">
              <w:rPr>
                <w:rFonts w:cstheme="minorHAnsi"/>
                <w:i/>
                <w:iCs/>
                <w:sz w:val="20"/>
                <w:szCs w:val="20"/>
              </w:rPr>
              <w:t>strefę zieleni w ramach terenów inwestycyjnych</w:t>
            </w:r>
            <w:r w:rsidRPr="009152E8">
              <w:rPr>
                <w:rFonts w:cstheme="minorHAnsi"/>
                <w:sz w:val="20"/>
                <w:szCs w:val="20"/>
              </w:rPr>
              <w:t>, dla której ustala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się:</w:t>
            </w:r>
          </w:p>
          <w:p w14:paraId="3C0327EA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zakaz lokalizacji budynków;</w:t>
            </w:r>
          </w:p>
          <w:p w14:paraId="601EFE8B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dopuszczenie lokalizacji dojść, dojazdów.</w:t>
            </w:r>
          </w:p>
          <w:p w14:paraId="53BA4541" w14:textId="6D25BF4B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6. Wyznacza </w:t>
            </w:r>
            <w:r w:rsidRPr="009152E8">
              <w:rPr>
                <w:rFonts w:cstheme="minorHAnsi"/>
                <w:i/>
                <w:iCs/>
                <w:sz w:val="20"/>
                <w:szCs w:val="20"/>
              </w:rPr>
              <w:t xml:space="preserve">się strefę </w:t>
            </w:r>
            <w:proofErr w:type="spellStart"/>
            <w:r w:rsidRPr="009152E8">
              <w:rPr>
                <w:rFonts w:cstheme="minorHAnsi"/>
                <w:i/>
                <w:iCs/>
                <w:sz w:val="20"/>
                <w:szCs w:val="20"/>
              </w:rPr>
              <w:t>hydrogeniczną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>, której zasięg zaznaczono na rysunku planu, w obrębie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której ustala się:</w:t>
            </w:r>
          </w:p>
          <w:p w14:paraId="0DB9D01B" w14:textId="1C8F19BD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1) zakaz lokalizacji nowych obiektów i urządzeń budowlanych z wyłączeniem liniowych obiektów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infrastruktury technicznej i drogowej, urządzeń wodnych oraz przepustów i obiektów mostowych;</w:t>
            </w:r>
          </w:p>
          <w:p w14:paraId="2C7142FF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utrzymanie ciągłości i funkcjonalności rowu;</w:t>
            </w:r>
          </w:p>
          <w:p w14:paraId="51AFDC1F" w14:textId="49C97295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nakaz utrzymania powierzchni zapewniającej przepływ i infiltrację wód za wyjątkiem przepustów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 obiektów mostowych;</w:t>
            </w:r>
          </w:p>
          <w:p w14:paraId="26526FC8" w14:textId="68041F5B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dopuszczenie możliwości wykonywania robót budowlanych obejmujących przebudowę, remont,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rozbudowę i prowadzenia prac konserwacyjnych i modernizacyjnych koryta rowu.</w:t>
            </w:r>
          </w:p>
          <w:p w14:paraId="43971AEE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7. W obszarze planu, znajdują się rowy dla których ustala się:</w:t>
            </w:r>
          </w:p>
          <w:p w14:paraId="16F0FD0C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nakaz zachowania funkcji odwadniającej lub nawadniającej;</w:t>
            </w:r>
          </w:p>
          <w:p w14:paraId="4811027E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nakaz stosowania koryt otwartych;</w:t>
            </w:r>
          </w:p>
          <w:p w14:paraId="4F99655A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zakaz lokalizacji:</w:t>
            </w:r>
          </w:p>
          <w:p w14:paraId="4AD215C5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budynków w odległości 5,0 m od górnej krawędzi skarpy rowu,</w:t>
            </w:r>
          </w:p>
          <w:p w14:paraId="48C633AB" w14:textId="3C77A825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ogrodzeń i obiektów budowlanych w odległości 1,5 m od górnej krawędzi skarpy rowu,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wyłączeniem infrastruktury technicznej;</w:t>
            </w:r>
          </w:p>
          <w:p w14:paraId="2FD74C87" w14:textId="54D91F21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dopuszczenie wykonywania robót budowlanych obejmujących przebudowę, remont, rozbudowę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 wykonanie nowego przebiegu rowów, wykonanie przepustów oraz obiektów mostowych, bez</w:t>
            </w:r>
          </w:p>
          <w:p w14:paraId="719F9D19" w14:textId="77777777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możliwości zarurowania pozostałych odcinków koryta.</w:t>
            </w:r>
          </w:p>
          <w:p w14:paraId="67CD5F92" w14:textId="03A84855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8. Dla rowów zlokalizowanych w wydzielonych terenach komunikacji, dopuszcza się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wykonywanie robót budowlanych obejmujących przebudowę, remont, rozbudowę i wykonanie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nowego przebiegu rowów, wykonanie przepustów oraz obiektów mostowych z możliwością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zarurowania odcinków koryta.</w:t>
            </w:r>
          </w:p>
          <w:p w14:paraId="21687448" w14:textId="0C666213" w:rsidR="00AD1040" w:rsidRPr="009152E8" w:rsidRDefault="00AD1040" w:rsidP="00AD10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9. Na całym obszarze planu dopuszcza się lokalizację urządzeń wodnych niezbędnych dla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realizacji zadań związanych z utrzymaniem wód oraz ochroną przeciwpowodziową.</w:t>
            </w:r>
          </w:p>
          <w:p w14:paraId="467DADA9" w14:textId="2D9F9BEC" w:rsidR="000605E0" w:rsidRPr="009152E8" w:rsidRDefault="00AD1040" w:rsidP="009260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10. Nakaz stosowania rozwiązań technicznych gwarantujących zachowanie odpowiednich przejść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 przepustów, mających na celu umożliwienie swobodnej migracji zwierząt.</w:t>
            </w:r>
          </w:p>
        </w:tc>
      </w:tr>
      <w:tr w:rsidR="00EA1C22" w:rsidRPr="009152E8" w14:paraId="00500F60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55A66D60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CBEDD6E" w14:textId="77777777" w:rsidR="00EA1C22" w:rsidRPr="009152E8" w:rsidRDefault="00EA1C22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5811" w:type="dxa"/>
            <w:gridSpan w:val="3"/>
          </w:tcPr>
          <w:p w14:paraId="7141B1D4" w14:textId="005E84C9" w:rsidR="00EA1C22" w:rsidRPr="009152E8" w:rsidRDefault="001D42AB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Nie dotyczy </w:t>
            </w:r>
          </w:p>
        </w:tc>
      </w:tr>
      <w:tr w:rsidR="00EA1C22" w:rsidRPr="009152E8" w14:paraId="459B3DCD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1A6A8502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37D5AE0" w14:textId="77777777" w:rsidR="00EA1C22" w:rsidRPr="009152E8" w:rsidRDefault="00EA1C22" w:rsidP="00DB30DA">
            <w:pPr>
              <w:spacing w:beforeLines="60" w:before="144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5811" w:type="dxa"/>
            <w:gridSpan w:val="3"/>
          </w:tcPr>
          <w:p w14:paraId="3EF92A74" w14:textId="658DE5C8" w:rsidR="00A46643" w:rsidRPr="009152E8" w:rsidRDefault="00A46643" w:rsidP="00E87248">
            <w:pPr>
              <w:autoSpaceDE w:val="0"/>
              <w:autoSpaceDN w:val="0"/>
              <w:adjustRightInd w:val="0"/>
              <w:spacing w:beforeLines="60" w:before="144"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§ 9. 1. Obejmuje się ochroną i oznacza na rysunku planu dawny cmentarz choleryczny wraz</w:t>
            </w:r>
            <w:r w:rsidR="00E87248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dwoma krzyżami ujęty w gminnej ewidencji zabytków.</w:t>
            </w:r>
          </w:p>
          <w:p w14:paraId="2E854CFE" w14:textId="304D46D8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2. W odniesieniu do obiektów i obszarów, o których mowa w ust.1 ustala się ochronę na zasadach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określonych w ustaleniach szczegółowych.</w:t>
            </w:r>
          </w:p>
          <w:p w14:paraId="4AE784EA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3. W celu ochrony dziedzictwa kulturowego i zabytków, w tym zabytków archeologicznych:</w:t>
            </w:r>
          </w:p>
          <w:p w14:paraId="4FDCA464" w14:textId="2B39F670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1) ustala się i określa na rysunku planu strefę ochrony </w:t>
            </w:r>
            <w:r w:rsidR="0092602E" w:rsidRPr="009152E8">
              <w:rPr>
                <w:rFonts w:cstheme="minorHAnsi"/>
                <w:sz w:val="20"/>
                <w:szCs w:val="20"/>
              </w:rPr>
              <w:t>k</w:t>
            </w:r>
            <w:r w:rsidRPr="009152E8">
              <w:rPr>
                <w:rFonts w:cstheme="minorHAnsi"/>
                <w:sz w:val="20"/>
                <w:szCs w:val="20"/>
              </w:rPr>
              <w:t>onserwatorskiej, dla której obowiązują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zapisy określone w ustaleniach szczegółowych dotyczące terenu ZP.1;</w:t>
            </w:r>
          </w:p>
          <w:p w14:paraId="0E610179" w14:textId="1F75D3B3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cały obszar planu obejmuje się archeologiczną strefą ochrony konserwatorskiej ze względu na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występowanie na tym obszarze stanowisk archeologicznych;</w:t>
            </w:r>
          </w:p>
          <w:p w14:paraId="312BAE9C" w14:textId="7832CB49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3) wskazuje się do ochrony i oznacza na rysunku planu stanowiska archeologiczne, ujęte w gminnej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ewidencji zabytków:</w:t>
            </w:r>
          </w:p>
          <w:p w14:paraId="73D65203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Kraków – Bronowice Wielkie 3 (AZP 101-56; 43):</w:t>
            </w:r>
          </w:p>
          <w:p w14:paraId="001537E7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neolitu,</w:t>
            </w:r>
          </w:p>
          <w:p w14:paraId="490E414E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wpływów rzymskich,</w:t>
            </w:r>
          </w:p>
          <w:p w14:paraId="42EC2381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Kraków – Bronowice Wielkie 5 (AZP 102-56; 196):</w:t>
            </w:r>
          </w:p>
          <w:p w14:paraId="3C4F6C07" w14:textId="52DF791D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późno lateńskiego/ okresu wpływów rzymskich (kultura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przeworska),</w:t>
            </w:r>
          </w:p>
          <w:p w14:paraId="4DF015CB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Kraków – Bronowice Wielkie 20 (AZP 102-56; 207):</w:t>
            </w:r>
          </w:p>
          <w:p w14:paraId="0E80F101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późnego średniowiecza (XIII-XV w),</w:t>
            </w:r>
          </w:p>
          <w:p w14:paraId="03AA6831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nowożytnego (XVI-XVIII w.),</w:t>
            </w:r>
          </w:p>
          <w:p w14:paraId="3B6BD573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Kraków – Bronowice Wielkie 21 (AZP 102-56; 208):</w:t>
            </w:r>
          </w:p>
          <w:p w14:paraId="32E878B7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epoki kamienia,</w:t>
            </w:r>
          </w:p>
          <w:p w14:paraId="1B6BD974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późnego średniowiecza (XIII-XVI w.),</w:t>
            </w:r>
          </w:p>
          <w:p w14:paraId="1381E9DF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e) Kraków – Bronowice Wielkie 22 (AZP 102-56; 209 ):</w:t>
            </w:r>
          </w:p>
          <w:p w14:paraId="79F5C25C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wczesnego średniowiecza (XI-XIII w.),</w:t>
            </w:r>
          </w:p>
          <w:p w14:paraId="5E411EBB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późnego średniowiecza ( XIV-XV w.),</w:t>
            </w:r>
          </w:p>
          <w:p w14:paraId="0344E1E0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nowożytnego (XVI-XVII w.),</w:t>
            </w:r>
          </w:p>
          <w:p w14:paraId="0499FE1C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f) Kraków – Bronowice Wielkie 25 (AZP 101-56; 197):</w:t>
            </w:r>
          </w:p>
          <w:p w14:paraId="22B62057" w14:textId="77777777" w:rsidR="00A46643" w:rsidRPr="009152E8" w:rsidRDefault="00A46643" w:rsidP="00E872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późnego okresu wpływów rzymskich (kultura przeworska),</w:t>
            </w:r>
          </w:p>
          <w:p w14:paraId="7B13E73E" w14:textId="40035B80" w:rsidR="00EA1C22" w:rsidRPr="009152E8" w:rsidRDefault="00A46643" w:rsidP="00E8724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Ślad osadnictwa z okresu nowożytnego (XVIII w.).</w:t>
            </w:r>
          </w:p>
        </w:tc>
      </w:tr>
      <w:tr w:rsidR="00EA1C22" w:rsidRPr="009152E8" w14:paraId="15F47B5B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6F9EAC53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545D79A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5811" w:type="dxa"/>
            <w:gridSpan w:val="3"/>
          </w:tcPr>
          <w:p w14:paraId="536CF4B4" w14:textId="65F63AEC" w:rsidR="00EA1C22" w:rsidRPr="009152E8" w:rsidRDefault="00474DBB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EA1C22" w:rsidRPr="009152E8" w14:paraId="6250A829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5F2CFCFE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BF2792F" w14:textId="77777777" w:rsidR="00EA1C22" w:rsidRPr="009152E8" w:rsidRDefault="00EA1C22" w:rsidP="009D512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5811" w:type="dxa"/>
            <w:gridSpan w:val="3"/>
          </w:tcPr>
          <w:p w14:paraId="3C88D017" w14:textId="0066C14B" w:rsidR="00A46643" w:rsidRPr="009152E8" w:rsidRDefault="00A46643" w:rsidP="00E87248">
            <w:pPr>
              <w:autoSpaceDE w:val="0"/>
              <w:autoSpaceDN w:val="0"/>
              <w:adjustRightInd w:val="0"/>
              <w:spacing w:beforeLines="60" w:before="144"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§ 13. 1. Ustala się zasady obsługi obszaru planu przez docelowy układ komunikacyjny,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granicach wyznaczonych terenów komunikacji, określony na rysunku planu, z uwzględnieniem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parametrów typowych przekrojów jezdni (ilość jezdni x ilość pasów ruchu na jednej jezdni):</w:t>
            </w:r>
          </w:p>
          <w:p w14:paraId="14153DE8" w14:textId="2A5ADE44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układ drogowy nadrzędny, udostępniający połączenie obszaru z zewnętrznym układem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komunikacyjnym, obejmują drogi publiczne:</w:t>
            </w:r>
          </w:p>
          <w:p w14:paraId="0DF4BBE2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droga klasy głównej ruchu przyspieszonego w terenie KDGP. 1 – ulica Jasnogórska - 2x2,</w:t>
            </w:r>
          </w:p>
          <w:p w14:paraId="0FE5BB9E" w14:textId="5312878A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droga klasy zbiorczej w terenie KDZ. 1 – przedłużenie ulicy Weissa w kierunku północnym –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1x2,</w:t>
            </w:r>
          </w:p>
          <w:p w14:paraId="12B2E135" w14:textId="47CFAF71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droga klasy lokalnej w terenie KDL.1 – ul. Chełmońskiego wraz z przedłużeniem w kierunku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północno - wschodnim, wzdłuż torów kolejowych; połączona skrzyżowaniem z drogą w terenie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KDGP.1 i krzyżująca się z drogą w terenie KDZ.1 w formie przejazdu drogowego - 1x2,</w:t>
            </w:r>
          </w:p>
          <w:p w14:paraId="1E008696" w14:textId="268F9B8A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droga klasy lokalnej w terenie KDL.2 – ul. Piaskowa wraz z centralnym odcinkiem ul.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Stelmachów, połączona skrzyżowaniem z drogą w terenie KDZ.1 – 1x2,</w:t>
            </w:r>
          </w:p>
          <w:p w14:paraId="1E4E0569" w14:textId="4C91880D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e) droga klasy lokalnej w terenie KDL.3 – wschodni odcinek ul. Stelmachów wraz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przedłużeniem w kierunku południowo – zachodnim, wzdłuż torów kolejowych; krzyżująca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 xml:space="preserve">z drogą w terenie KDZ.1 w formie skrzyżowania skanalizowanego (w sąsiedztwie </w:t>
            </w:r>
            <w:r w:rsidRPr="009152E8">
              <w:rPr>
                <w:rFonts w:cstheme="minorHAnsi"/>
                <w:sz w:val="20"/>
                <w:szCs w:val="20"/>
              </w:rPr>
              <w:lastRenderedPageBreak/>
              <w:t>terenu ZP.7)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oraz w formie przejazdu drogowego (w sąsiedztwie południowo-wschodniej granicy planu) –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1x2;</w:t>
            </w:r>
          </w:p>
          <w:p w14:paraId="4D9AFD49" w14:textId="2CC363F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układ drogowy uzupełniający, obejmuje drogi publiczne klasy dojazdowej, połączone z układem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drogowym, opisanym w pkt 1:</w:t>
            </w:r>
          </w:p>
          <w:p w14:paraId="4DF3BBD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KDD.1 – planowany sięgacz, położony pomiędzy terenami U.1 i U.2 – 1x2,</w:t>
            </w:r>
          </w:p>
          <w:p w14:paraId="1A79737C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KDD.2 – planowany sięgacz, położony pomiędzy terenami U.2 i U.3 – 1x2,</w:t>
            </w:r>
          </w:p>
          <w:p w14:paraId="405009C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KDD.3 – zachodni odcinek ulicy Stelmachów – 1x2,</w:t>
            </w:r>
          </w:p>
          <w:p w14:paraId="77F2D180" w14:textId="2223DE0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KDD.4 – planowana droga, biegnąca w przybliżeniu południkowo pomiędzy terenami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MN/MWn.17 i MN/MWn.18, a terenem MN/MWn.19 – 1x2;</w:t>
            </w:r>
          </w:p>
          <w:p w14:paraId="395C199B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w obszarze planu znajdują się części pasów dróg w terenach:</w:t>
            </w:r>
          </w:p>
          <w:p w14:paraId="1D4F1DC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152E8">
              <w:rPr>
                <w:rFonts w:cstheme="minorHAnsi"/>
                <w:sz w:val="20"/>
                <w:szCs w:val="20"/>
                <w:lang w:val="en-GB"/>
              </w:rPr>
              <w:t>a) KDGP.1,</w:t>
            </w:r>
          </w:p>
          <w:p w14:paraId="7F357C2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152E8">
              <w:rPr>
                <w:rFonts w:cstheme="minorHAnsi"/>
                <w:sz w:val="20"/>
                <w:szCs w:val="20"/>
                <w:lang w:val="en-GB"/>
              </w:rPr>
              <w:t>b) KDL.1,</w:t>
            </w:r>
          </w:p>
          <w:p w14:paraId="41E80A54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152E8">
              <w:rPr>
                <w:rFonts w:cstheme="minorHAnsi"/>
                <w:sz w:val="20"/>
                <w:szCs w:val="20"/>
                <w:lang w:val="en-GB"/>
              </w:rPr>
              <w:t>c) KDD.2;</w:t>
            </w:r>
          </w:p>
          <w:p w14:paraId="3FC63081" w14:textId="685034CF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dla poszczególnych klas dróg ustala się następujące szerokości drogi w liniach rozgraniczających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terenów przeznaczonych pod drogi publiczne:</w:t>
            </w:r>
          </w:p>
          <w:p w14:paraId="313FA54C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droga klasy głównej ruchu przyspieszonego w terenie KDGP. 1 - do 40 metrów,</w:t>
            </w:r>
          </w:p>
          <w:p w14:paraId="71B525AE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droga klasy zbiorczej w terenie KDZ.1 – do 31 metrów,</w:t>
            </w:r>
          </w:p>
          <w:p w14:paraId="4D737294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drogi klasy lokalnej w terenach:</w:t>
            </w:r>
          </w:p>
          <w:p w14:paraId="45EC33FE" w14:textId="698E849C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KDL.1 – do 12 metrów, z dopuszczeniem poszerzenia do 50 metrów w południowym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narożniku obszaru planu,</w:t>
            </w:r>
          </w:p>
          <w:p w14:paraId="082606C7" w14:textId="4BE5FF84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KDL.2 – do 17 metrów, z dopuszczeniem poszerzeń do 24 metrów w rejonie skrzyżowania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drogą w terenie KDZ.1 oraz do 29 metrów w rejonie skrzyżowania z drogą w terenie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KDD.3,</w:t>
            </w:r>
          </w:p>
          <w:p w14:paraId="3BC8BC8F" w14:textId="72DB1BE4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KDL.3 – do 12 m, z dopuszczeniem poszerzenia do 27 m w rejonie skrzyżowania z drogą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terenie KDZ.1,</w:t>
            </w:r>
          </w:p>
          <w:p w14:paraId="1EF6842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drogi klasy dojazdowej w terenach:</w:t>
            </w:r>
          </w:p>
          <w:p w14:paraId="5EC44553" w14:textId="0FC0CB25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KDD.1 - do 11 metrów, z dopuszczeniem poszerzeń do 18 metrów w rejonie włączenia do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drogi w terenie KDGP.1 oraz w rejonie placu do zawracania,</w:t>
            </w:r>
          </w:p>
          <w:p w14:paraId="0209687F" w14:textId="4FA78D84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KDD.2 - do 12 metrów, z dopuszczeniem poszerzeń do 20 metrów w rejonie włączenia do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drogi w terenie KDGP.1 oraz w rejonie placu do zawracania,</w:t>
            </w:r>
          </w:p>
          <w:p w14:paraId="4DFCB6B1" w14:textId="3FE5A028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KDD.3 - 10 metrów, z dopuszczeniem poszerzenia do 18 metrów w rejonie włączenia do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drogi w terenie KDGP.1,</w:t>
            </w:r>
          </w:p>
          <w:p w14:paraId="6AA50303" w14:textId="513A117E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KDD.4 - do 12 metrów, z dopuszczeniem poszerzenia do 18 metrów w rejonie skrzyżowania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drogą w terenie KDL.2;</w:t>
            </w:r>
          </w:p>
          <w:p w14:paraId="57717B75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5) układ dróg publicznych, opisany w ust. 1, pkt 1 i 2, uzupełniają:</w:t>
            </w:r>
          </w:p>
          <w:p w14:paraId="379A0A86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tereny dróg wewnętrznych:</w:t>
            </w:r>
          </w:p>
          <w:p w14:paraId="2B929A69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KDW.1 – ulica bez nazwy, położona po wschodniej stronie terenu MN/MWn.2,</w:t>
            </w:r>
          </w:p>
          <w:p w14:paraId="0923CFDF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KDW.2 - ulica bez nazwy, położona po zachodniej stronie terenu MN/MWn.7,</w:t>
            </w:r>
          </w:p>
          <w:p w14:paraId="3DEA50F7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KDW.3 – ulica bez nazwy, położona po zachodniej stronie terenu MN/MWn.10,</w:t>
            </w:r>
          </w:p>
          <w:p w14:paraId="2A4DEBC9" w14:textId="7E6C6DE5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KDW.4 – ulice: Chełmońskiego, Kiwerskiego, Pełczyńskiego, Kaczmarczyka,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Tumanowicza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Kasznicy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Kukiela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, Olszyny – Wilczyńskiego,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Kalenkiewicza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>, Gawliny,</w:t>
            </w:r>
          </w:p>
          <w:p w14:paraId="0A5B49A0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KDW.5 – ulica bez nazwy, położona pomiędzy terenami MN.5 i MN.6,</w:t>
            </w:r>
          </w:p>
          <w:p w14:paraId="6B243D2A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KDW.6 - ulica bez nazwy, położona pomiędzy terenami MN.6 i MN.7,</w:t>
            </w:r>
          </w:p>
          <w:p w14:paraId="684B5D6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- KDW.7 - ulica bez nazwy, położona pomiędzy terenami MN.7 i MN.8,</w:t>
            </w:r>
          </w:p>
          <w:p w14:paraId="2E4A4C7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KDW.8 - ulica bez nazwy, położona wewnątrz terenu MN.8,</w:t>
            </w:r>
          </w:p>
          <w:p w14:paraId="7363951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KDW.9 – ulica bez nazwy, położona po zachodniej stronie terenu U.5,</w:t>
            </w:r>
          </w:p>
          <w:p w14:paraId="05530FAA" w14:textId="239C7A10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teren obsługi i urządzeń komunikacji przeznaczony pod parking naziemny, oznaczony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symbolem KU.1,</w:t>
            </w:r>
          </w:p>
          <w:p w14:paraId="54D4C4FE" w14:textId="303D5BCA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tereny komunikacji, o podstawowym przeznaczeniu pod publicznie dostępne ciągi piesze,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obrębie których dopuszcza się również lokalizację ciągów rowerowych:</w:t>
            </w:r>
          </w:p>
          <w:p w14:paraId="01962922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KDX.1 – położony pomiędzy terenami MN.1 i MN.2,</w:t>
            </w:r>
          </w:p>
          <w:p w14:paraId="78B49D3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KDX.2 – położony pomiędzy terenami MN.2 i MN.3,</w:t>
            </w:r>
          </w:p>
          <w:p w14:paraId="43FF6892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KDX.3 – położony pomiędzy terenami MN/U.2 i MN/U.3,</w:t>
            </w:r>
          </w:p>
          <w:p w14:paraId="385B938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KDX.4 – położony pomiędzy terenami MN/MWn.17 i ZP.4,</w:t>
            </w:r>
          </w:p>
          <w:p w14:paraId="2C36E6B4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KDX.5 - położony pomiędzy terenami MN/MWn.2 i MN/MWn.3,</w:t>
            </w:r>
          </w:p>
          <w:p w14:paraId="513D404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- KDX.6 - położony pomiędzy terenami MN/MWn.1 i ZP.2,</w:t>
            </w:r>
          </w:p>
          <w:p w14:paraId="18CD734F" w14:textId="3CF7100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- KDX.7 - położony pomiędzy terenami MN/MWn.8 i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MWn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>/U.2, a terenami KDW.9, KU.1i MN/MWn.9;</w:t>
            </w:r>
          </w:p>
          <w:p w14:paraId="0DFD4283" w14:textId="31B63AB1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6) dla ciągów pieszych ustala się następujące szerokości w liniach rozgraniczających terenów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przeznaczonych pod:</w:t>
            </w:r>
          </w:p>
          <w:p w14:paraId="47ED4DCB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ciąg pieszy w terenie KDX.1 – 5 metrów,</w:t>
            </w:r>
          </w:p>
          <w:p w14:paraId="75CE330B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ciąg pieszy w terenie KDX.2 – 5 metrów,</w:t>
            </w:r>
          </w:p>
          <w:p w14:paraId="02892616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ciąg pieszy w terenie KDX.3 – 5 metrów,</w:t>
            </w:r>
          </w:p>
          <w:p w14:paraId="6286BB7C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ciąg pieszy w terenie KDX.4 – 5 metrów,</w:t>
            </w:r>
          </w:p>
          <w:p w14:paraId="65D3654E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e) ciąg pieszy w terenie KDX.5 – do 3 metrów,</w:t>
            </w:r>
          </w:p>
          <w:p w14:paraId="79E24955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f) ciąg pieszy w terenie KDX.6 – 5 metrów,</w:t>
            </w:r>
          </w:p>
          <w:p w14:paraId="7924469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g) ciąg pieszy w terenie KDX.7 – do 6 metrów.</w:t>
            </w:r>
          </w:p>
          <w:p w14:paraId="4744A1BF" w14:textId="262CB045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2. Rozbudowa istniejącego układu komunikacyjnego obejmie budowę nowych odcinków dróg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terenach: KDZ.1, KDL.1, KDL.3, KDD.1, KDD.2, KDD.4, przebudowę dróg w terenach:</w:t>
            </w:r>
          </w:p>
          <w:p w14:paraId="61ECC8F2" w14:textId="2A0FFDF9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KDGP.1, KDL.1, KDL.2, KDL.3, KDD.3 oraz budowę ciągów pieszych w terenach KDX.1,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KDX.2, KDX.3. KDX.4, KDX.6 i KDX.7.</w:t>
            </w:r>
          </w:p>
          <w:p w14:paraId="53E5CE4B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3. Nie wyznacza się miejsc zjazdów z dróg publicznych.</w:t>
            </w:r>
          </w:p>
          <w:p w14:paraId="439675F2" w14:textId="03DEB390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4. Dojazdy niewyznaczone zapewniające dostęp do dróg publicznych powinny zostać wytyczone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sposób umożliwiający prowadzenie lokalnych sieci uzbrojenia terenu.</w:t>
            </w:r>
          </w:p>
          <w:p w14:paraId="35BB5055" w14:textId="1007979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5. Oznacza się na rysunku planu przebieg miejskiego układu tras rowerowych w terenach: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KDGP.1, KDZ.1 i MN.4.</w:t>
            </w:r>
          </w:p>
          <w:p w14:paraId="4891605D" w14:textId="775E8EDD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6. Dopuszcza się w pozostałych terenach lokalizację innych tras rowerowych, niewyznaczonych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na rysunku planu, za wyjątkiem terenu ZP.1, objętego ochroną konserwatorską.</w:t>
            </w:r>
          </w:p>
          <w:p w14:paraId="7F737F9A" w14:textId="31A8CF5E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7. Realizacja ustaleń planu w zakresie zagospodarowania, użytkowania i utrzymania terenów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komunikacji kołowej, transportu publicznego, parkingów, komunikacji pieszej i rowerowej wymaga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zapewnienia:</w:t>
            </w:r>
          </w:p>
          <w:p w14:paraId="0CF32192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rozwiązań technicznych dla poruszania się osób niepełnosprawnych (w tym z dysfunkcją wzroku);</w:t>
            </w:r>
          </w:p>
          <w:p w14:paraId="64A7A711" w14:textId="027159FC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rozwiązań technologicznych wspomagających i poprawiających warunki wzrostu drzew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 krzewów.</w:t>
            </w:r>
          </w:p>
          <w:p w14:paraId="0EC12ED7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8. Ustala się następujące zasady obsługi parkingowej:</w:t>
            </w:r>
          </w:p>
          <w:p w14:paraId="2C6F7D80" w14:textId="78AFEBA6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określa się minimalną liczbę miejsc postojowych, wliczając miejsca w garażach, odniesioną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odpowiednio do funkcji obiektów lub do funkcji ich części - według poniższych wskaźników:</w:t>
            </w:r>
          </w:p>
          <w:p w14:paraId="4C2E616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budynki w zabudowie jednorodzinnej - 2 miejsca na 1 dom,</w:t>
            </w:r>
          </w:p>
          <w:p w14:paraId="2A5AA3D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budynki w zabudowie wielorodzinnej - 1,2 miejsca na 1 mieszkanie,</w:t>
            </w:r>
          </w:p>
          <w:p w14:paraId="724BAA78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hotele - 10 miejsc na 100 pokoi,</w:t>
            </w:r>
          </w:p>
          <w:p w14:paraId="5BD7AF1C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d) domy studenckie - 20 miejsc na 100 łóżek,</w:t>
            </w:r>
          </w:p>
          <w:p w14:paraId="7C65A63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e) internaty, domy dziecka - 10 miejsc na 100 łóżek,</w:t>
            </w:r>
          </w:p>
          <w:p w14:paraId="62A5FB58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f) pensjonaty, domy wypoczynkowe - 20 miejsc na 100 łóżek,</w:t>
            </w:r>
          </w:p>
          <w:p w14:paraId="14A852E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g) domy rencistów - 12 miejsc na 100 łóżek,</w:t>
            </w:r>
          </w:p>
          <w:p w14:paraId="188081DE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h) domy zakonne - 10 miejsc na 1 dom,</w:t>
            </w:r>
          </w:p>
          <w:p w14:paraId="2C321635" w14:textId="0B09BAB5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i) budynki administracji publicznej, wymiaru sprawiedliwości - 20 miejsc na 1000 m2 powierzchni</w:t>
            </w:r>
            <w:r w:rsidR="0092602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użytkowej,</w:t>
            </w:r>
          </w:p>
          <w:p w14:paraId="188ABD1B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j) budynki kultury: teatry, kina, sale koncertowe - 25 miejsc na 100 widzów (miejsc siedzących),</w:t>
            </w:r>
          </w:p>
          <w:p w14:paraId="1D858416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k) budynki kultury: sale wystawowe, muzea - 25 miejsc na 100 odwiedzających (jednocześnie),</w:t>
            </w:r>
          </w:p>
          <w:p w14:paraId="2628FA37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l) budynki oświaty - 20 miejsc na 100 zatrudnionych,</w:t>
            </w:r>
          </w:p>
          <w:p w14:paraId="0D13C8A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m) budynki opieki społecznej i socjalnej - 20 miejsc na 100 zatrudnionych,</w:t>
            </w:r>
          </w:p>
          <w:p w14:paraId="4B048840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n) budynki obsługi bankowej - 20 miejsc na 100 zatrudnionych,</w:t>
            </w:r>
          </w:p>
          <w:p w14:paraId="07EBEF32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o) obiekty handlu: o 2000 m² pow. sprzedaży i niżej - 30 miejsc na 1000 m² pow. sprzedaży,</w:t>
            </w:r>
          </w:p>
          <w:p w14:paraId="014412E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p) budynki gastronomii - 25 miejsc na 100 miejsc konsumpcyjnych,</w:t>
            </w:r>
          </w:p>
          <w:p w14:paraId="2B9500AE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q) budynki innych usług - 20 miejsc na 100 zatrudnionych,</w:t>
            </w:r>
          </w:p>
          <w:p w14:paraId="0E47DCDF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r) budynki biur - 30 miejsc na 1000 m2 powierzchni użytkowej,</w:t>
            </w:r>
          </w:p>
          <w:p w14:paraId="3A5328D9" w14:textId="564D127C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s) obiekty sportowe lokalne: korty tenisowe, baseny, boiska, itp. - 30 miejsc na 100 użytkowników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(jednocześnie);</w:t>
            </w:r>
          </w:p>
          <w:p w14:paraId="3C1DC08A" w14:textId="35847C1B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nie ustala się wymogu zapewnienia miejsc postojowych w przypadku zamiaru wykonywania robót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budowlanych w istniejących budynkach, polegających na:</w:t>
            </w:r>
          </w:p>
          <w:p w14:paraId="5C704439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przebudowie niezwiązanej ze zmianą sposobu użytkowania obiektu budowlanego,</w:t>
            </w:r>
          </w:p>
          <w:p w14:paraId="59F63398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dociepleniu,</w:t>
            </w:r>
          </w:p>
          <w:p w14:paraId="35EC8153" w14:textId="487C9A23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lokalizacji pochylni i ramp dla niepełnosprawnych, szybów windowych i klatek schodowych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zewnętrznych,</w:t>
            </w:r>
          </w:p>
          <w:p w14:paraId="666E6133" w14:textId="6B30D942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rozbudowie w istniejących budynkach mieszkalnych, o ile nie spowoduje to zwiększenia ilości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samodzielnych lokali mieszkaniowych;</w:t>
            </w:r>
          </w:p>
          <w:p w14:paraId="49CC25AD" w14:textId="784D7125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dla obiektów określonych w pkt 1 lit b) – s) wskazuje się konieczność zapewnienia, w ramach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wskazanej liczby miejsc postojowych, stanowisk na kartę parkingową - min. 4% liczby miejsc</w:t>
            </w:r>
          </w:p>
          <w:p w14:paraId="7E32617C" w14:textId="4DFA94AC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postojowych przeznaczonych dla danego obiektu i nie mniej niż 1 stanowisko;</w:t>
            </w:r>
          </w:p>
          <w:p w14:paraId="4A68C38D" w14:textId="23C15A41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określa się dla nowo budowanych obiektów wymagane minimalne ilości stanowisk postojowych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rowerów, wliczając miejsca wewnątrz obiektów, odniesione odpowiednio do funkcji obiektów lub</w:t>
            </w:r>
          </w:p>
          <w:p w14:paraId="3022CF11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do funkcji ich części według poniższych wskaźników:</w:t>
            </w:r>
          </w:p>
          <w:p w14:paraId="426E86A8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budynki mieszkalne w zabudowie wielorodzinnej - 0,5 miejsca na 1 mieszkanie,</w:t>
            </w:r>
          </w:p>
          <w:p w14:paraId="2530BFD0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hotele - 20 miejsc na 100 pokoi,</w:t>
            </w:r>
          </w:p>
          <w:p w14:paraId="5A3B4DCD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domy studenckie - 30 miejsc na 100 łóżek,</w:t>
            </w:r>
          </w:p>
          <w:p w14:paraId="30249700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d) internaty, domy dziecka – 25 miejsc na 100 łóżek,</w:t>
            </w:r>
          </w:p>
          <w:p w14:paraId="06C1B990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e) pensjonaty, domy wypoczynkowe - 15 miejsc na 100 łóżek,</w:t>
            </w:r>
          </w:p>
          <w:p w14:paraId="692B53CB" w14:textId="448BBDFC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f) budynki administracji publicznej, wymiaru sprawiedliwości – 10 miejsc na 1000 m2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powierzchni użytkowej</w:t>
            </w:r>
          </w:p>
          <w:p w14:paraId="3E3A7893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g) budynki kultury: teatry, kina, sale koncertowe - 5 miejsc na 100 widzów (miejsc siedzących),</w:t>
            </w:r>
          </w:p>
          <w:p w14:paraId="31CABB28" w14:textId="00B0C2C2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h) budynki handlu: obiekty 2000 m² pow. sprzedaży i niżej - 10 miejsc na 1000 m² powierzchni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sprzedaży,</w:t>
            </w:r>
          </w:p>
          <w:p w14:paraId="497AAAF9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i) budynki gastronomii - 10 miejsc na 100 miejsc konsumpcyjnych,</w:t>
            </w:r>
          </w:p>
          <w:p w14:paraId="01FDEA34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j) budynki innych usług - 5 miejsc na 100 zatrudnionych,</w:t>
            </w:r>
          </w:p>
          <w:p w14:paraId="050E74E8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k) budynki biur - 10 miejsc na 1000 m² powierzchni użytkowej,</w:t>
            </w:r>
          </w:p>
          <w:p w14:paraId="37098A67" w14:textId="765EB123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l) obiekty sportowe lokalne: korty tenisowe, baseny, boiska, itp. - 5 miejsc na 100 użytkowników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(jednocześnie);</w:t>
            </w:r>
          </w:p>
          <w:p w14:paraId="5C18C133" w14:textId="0B573743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5) miejsca postojowe dla samochodów osobowych i stanowiska postojowe dla rowerów na potrzeby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danego obiektu należy lokalizować i bilansować w obrębie działki budowlanej objętej projektem</w:t>
            </w:r>
          </w:p>
          <w:p w14:paraId="3CB8B8BD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zagospodarowania terenu do decyzji administracyjnej albo zgłoszeniem;</w:t>
            </w:r>
          </w:p>
          <w:p w14:paraId="427E83EC" w14:textId="3C1D799E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6) dodatkowe, poza bilansem (ponad wymagania określone w pkt 1 i 4 miejsca postojowe dla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samochodów osobowych i stanowiska postojowe dla rowerów mogą być lokalizowane także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obrębie:</w:t>
            </w:r>
          </w:p>
          <w:p w14:paraId="7AD74659" w14:textId="20A458E9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terenów dróg publicznych (dojazdowych i lokalnych) i dróg wewnętrznych - jako zatoki i pasy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postojowe,</w:t>
            </w:r>
          </w:p>
          <w:p w14:paraId="2FB2D0F9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terenu drogi KDGP.1 - wyłącznie wzdłuż drogi serwisowej.</w:t>
            </w:r>
          </w:p>
          <w:p w14:paraId="7A07B80C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9. Ustala się następujące sposoby realizacji miejsc postojowych:</w:t>
            </w:r>
          </w:p>
          <w:p w14:paraId="152C8B2A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miejsca postojowe należy realizować jako naziemne lub podziemne;</w:t>
            </w:r>
          </w:p>
          <w:p w14:paraId="253EBDAD" w14:textId="6BB4CE05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zakaz lokalizacji miejsc postojowych w Terenach Komunikacji, Terenach ZP.1 – ZP.8, WS.1,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WZ.1 oraz w wyznaczonych strefach zieleni w ramach terenów inwestycyjnych z zastrzeżeniem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pkt 3;</w:t>
            </w:r>
          </w:p>
          <w:p w14:paraId="72FF663E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w Terenie ZP.3 dopuszcza się wyłącznie parking naziemny;</w:t>
            </w:r>
          </w:p>
          <w:p w14:paraId="4B0254E7" w14:textId="77777777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10. Ustala się następujące zasady obsługi obszaru komunikacją zbiorową:</w:t>
            </w:r>
          </w:p>
          <w:p w14:paraId="52EC707D" w14:textId="3605CD41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obszar planu znajduje się w zasięgu obsługi miejskich i aglomeracyjnych linii autobusowych,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kursujących w ciągu ulic Jasnogórskiej, Łokietka, Conrada i Stawowej;</w:t>
            </w:r>
          </w:p>
          <w:p w14:paraId="23BD5CF9" w14:textId="065058CD" w:rsidR="00A46643" w:rsidRPr="009152E8" w:rsidRDefault="00A46643" w:rsidP="00A466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obszar planu znajduje się w zasięgu obsługi przez planowaną linię tramwajową, biegnącą do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planowanego terminala przesiadkowego, lokalizowanego wstępnie poza granicami planu,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sąsiedztwie ulic Stawowej i Sosnowieckiej;</w:t>
            </w:r>
          </w:p>
          <w:p w14:paraId="001FE2E9" w14:textId="289D6FD8" w:rsidR="00EA1C22" w:rsidRPr="009152E8" w:rsidRDefault="00A46643" w:rsidP="008041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dopuszcza się możliwość prowadzenia miejskich linii autobusowych w ciągu ulic lokalnych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 zbiorczych.</w:t>
            </w:r>
          </w:p>
        </w:tc>
      </w:tr>
      <w:tr w:rsidR="00EA1C22" w:rsidRPr="009152E8" w14:paraId="0AAB526C" w14:textId="77777777" w:rsidTr="005323C5">
        <w:trPr>
          <w:trHeight w:val="51"/>
        </w:trPr>
        <w:tc>
          <w:tcPr>
            <w:tcW w:w="1932" w:type="dxa"/>
            <w:vMerge/>
            <w:shd w:val="clear" w:color="auto" w:fill="F3F3F3"/>
          </w:tcPr>
          <w:p w14:paraId="4B500A7B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8AEF3E3" w14:textId="77777777" w:rsidR="00EA1C22" w:rsidRPr="009152E8" w:rsidRDefault="00EA1C22" w:rsidP="00EA1C22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5811" w:type="dxa"/>
            <w:gridSpan w:val="3"/>
          </w:tcPr>
          <w:p w14:paraId="602C3B1D" w14:textId="131F3867" w:rsidR="005272EF" w:rsidRPr="009152E8" w:rsidRDefault="005272EF" w:rsidP="00E87248">
            <w:pPr>
              <w:autoSpaceDE w:val="0"/>
              <w:autoSpaceDN w:val="0"/>
              <w:adjustRightInd w:val="0"/>
              <w:spacing w:beforeLines="60" w:before="144"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§ 12. 1. Jako ogólne zasady obsługi obszaru w zakresie infrastruktury technicznej, dotyczące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całego obszaru planu ustala się:</w:t>
            </w:r>
          </w:p>
          <w:p w14:paraId="1BE4A56C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utrzymanie istniejących obiektów i urządzeń budowlanych infrastruktury technicznej;</w:t>
            </w:r>
          </w:p>
          <w:p w14:paraId="10F57759" w14:textId="78DB7A08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możliwość prowadzenia robót budowlanych polegających na budowie, rozbudowie, przebudowie,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montażu, remoncie lub rozbiórce i odłączeniu obiektów i urządzeń budowlanych infrastruktury</w:t>
            </w:r>
          </w:p>
          <w:p w14:paraId="33F04D6D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technicznej;</w:t>
            </w:r>
          </w:p>
          <w:p w14:paraId="6B59F7D3" w14:textId="7FD40209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nakaz powiązania planowanych obiektów i urządzeń budowlanych infrastruktury technicznej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istniejącym układem zewnętrznym;</w:t>
            </w:r>
          </w:p>
          <w:p w14:paraId="16CC8435" w14:textId="6E86DCA4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wzdłuż obiektów i urządzeń budowlanych infrastruktury technicznej, ograniczenia w zakresie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zabudowy i zagospodarowania terenów bezpośrednio przyległych, wynikające z unormowań</w:t>
            </w:r>
          </w:p>
          <w:p w14:paraId="3EF89AD4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odrębnych;</w:t>
            </w:r>
          </w:p>
          <w:p w14:paraId="79FF1BA2" w14:textId="0393BFCA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5) zasadę lokalizacji obiektów i urządzeń budowlanych z zakresu elektroenergetyki i telekomunikacji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 nakazem uwzględniania ochrony zdrowia ludności przed oddziaływaniem (promieniowaniem)</w:t>
            </w:r>
          </w:p>
          <w:p w14:paraId="4AD414EE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pól elektromagnetycznych;</w:t>
            </w:r>
          </w:p>
          <w:p w14:paraId="41AD53AB" w14:textId="48681E09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6) wzdłuż obiektów i urządzeń budowlanych infrastruktury technicznej, prowadzonych w strefie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 xml:space="preserve">występowania systemu korzeniowego drzew (istniejących lub planowanych do 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nasadzeń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>), nakaz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 xml:space="preserve">stosowania rozwiązań technicznych (np. ekranów </w:t>
            </w:r>
            <w:r w:rsidRPr="009152E8">
              <w:rPr>
                <w:rFonts w:cstheme="minorHAnsi"/>
                <w:sz w:val="20"/>
                <w:szCs w:val="20"/>
              </w:rPr>
              <w:lastRenderedPageBreak/>
              <w:t>korzeniowych) uniemożliwiających wrastanie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korzeni w infrastrukturę podziemną;</w:t>
            </w:r>
          </w:p>
          <w:p w14:paraId="52857CE9" w14:textId="582C84DA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7) zakaz lokalizacji instalacji wykorzystujących energię wiatru, z wyłączeniem instalacji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przeznaczonych wyłącznie do zasilania znaków drogowych i kolejowych, urządzeń sterujących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lub monitorujących ruch drogowy lub kolejowy, znaków nawigacyjnych, urządzeń</w:t>
            </w:r>
          </w:p>
          <w:p w14:paraId="6615D3A1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oświetleniowych.</w:t>
            </w:r>
          </w:p>
          <w:p w14:paraId="6E64B149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2. W zakresie zaopatrzenia w wodę ustala się:</w:t>
            </w:r>
          </w:p>
          <w:p w14:paraId="27F229A5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zaopatrzenie w wodę z sieci wodociągowej lub w oparciu o indywidualne ujęcia;</w:t>
            </w:r>
          </w:p>
          <w:p w14:paraId="42EB9D4D" w14:textId="511BFBAC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przy projektowaniu zasilania w wodę planowanych obiektów, przyjmowanie rzędnej linii ciśnień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średnio 250,00 m n.p.m.;</w:t>
            </w:r>
          </w:p>
          <w:p w14:paraId="63FE6BC3" w14:textId="6B963E81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minimalny przekrój nowo</w:t>
            </w:r>
            <w:r w:rsidR="0025169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realizowanej miejskiej sieci wodociągowej - ϕ 100 mm;</w:t>
            </w:r>
          </w:p>
          <w:p w14:paraId="6643C1B7" w14:textId="5A183E3F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rozbudowę i przebudowę funkcjonującego systemu zaopatrzenia w wodę dla pokrycia potrzeb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 xml:space="preserve">bytowych, użytkowych i </w:t>
            </w:r>
            <w:r w:rsidR="00804191" w:rsidRPr="009152E8">
              <w:rPr>
                <w:rFonts w:cstheme="minorHAnsi"/>
                <w:sz w:val="20"/>
                <w:szCs w:val="20"/>
              </w:rPr>
              <w:t>p</w:t>
            </w:r>
            <w:r w:rsidRPr="009152E8">
              <w:rPr>
                <w:rFonts w:cstheme="minorHAnsi"/>
                <w:sz w:val="20"/>
                <w:szCs w:val="20"/>
              </w:rPr>
              <w:t>rzeciwpożarowych w powiązaniu z miejską siecią wodociągową.</w:t>
            </w:r>
          </w:p>
          <w:p w14:paraId="506B78D3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3. W zakresie odprowadzania ścieków oraz wód opadowych ustala się:</w:t>
            </w:r>
          </w:p>
          <w:p w14:paraId="1797C8E1" w14:textId="2A9E2C9C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nakaz odprowadzania ścieków bytowych i przemysłowych w oparciu o system kanalizacji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rozdzielczej (kanalizacja sanitarna);</w:t>
            </w:r>
          </w:p>
          <w:p w14:paraId="2E87D58C" w14:textId="645F01A1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dopuszczenie w terenach nieobjętych kanalizacją sanitarną, tymczasowo (do czasu realizacji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kanalizacji sanitarnej) zastosowanie szczelnych bezodpływowych zbiorników na nieczystości</w:t>
            </w:r>
          </w:p>
          <w:p w14:paraId="2C182212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ciekłe;</w:t>
            </w:r>
          </w:p>
          <w:p w14:paraId="34DFC795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zakaz lokalizacji przydomowych oczyszczalni ścieków;</w:t>
            </w:r>
          </w:p>
          <w:p w14:paraId="07F87E11" w14:textId="7DE8C76E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minimalny przekrój nowo</w:t>
            </w:r>
            <w:r w:rsidR="0025169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realizowanej miejskiej sieci kanalizacji sanitarnej - ϕ 250 mm;</w:t>
            </w:r>
          </w:p>
          <w:p w14:paraId="63090AF8" w14:textId="6637CECE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5) minimalny przekrój nowo</w:t>
            </w:r>
            <w:r w:rsidR="0025169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realizowanej miejskiej sieci kanalizacji opadowej - ϕ 300 mm;</w:t>
            </w:r>
          </w:p>
          <w:p w14:paraId="5136A63B" w14:textId="26EA7853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6) zagospodarowanie wód opadowych poprzez retencję w miejscu lub odprowadzenie do kanalizacji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rozdzielczej (kanalizacja opadowa) lub cieku, rowu, z uwzględnieniem rozwiązań:</w:t>
            </w:r>
          </w:p>
          <w:p w14:paraId="38940E42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ułatwiających przesiąkanie wody deszczowej do gruntu,</w:t>
            </w:r>
          </w:p>
          <w:p w14:paraId="52D09085" w14:textId="64B4E145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spowalniających odpływ do odbiornika do ilości jaka powstaje na terenie przed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zagospodarowaniem (przy współczynniku spływu 0,1),</w:t>
            </w:r>
          </w:p>
          <w:p w14:paraId="264522A6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c) zwiększających retencję.</w:t>
            </w:r>
          </w:p>
          <w:p w14:paraId="0143F4FA" w14:textId="642A71E9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4. W zakresie zaopatrzenia w gaz ustala się doprowadzenie gazu do odbiorców w oparciu o sieć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gazową niskiego i średniego ciśnienia.</w:t>
            </w:r>
          </w:p>
          <w:p w14:paraId="2719D0C5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5. W zakresie zaopatrzenia w ciepło ustala się:</w:t>
            </w:r>
          </w:p>
          <w:p w14:paraId="342D5471" w14:textId="5DF500D6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zaopatrzenie obiektów w ciepło w oparciu o sieć ciepłowniczą, paliwa gazowe, odnawialne źródła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energii (np. energia słoneczna, geotermalna), energię elektryczną, lekki olej opałowy;</w:t>
            </w:r>
          </w:p>
          <w:p w14:paraId="4A0D35ED" w14:textId="06059AD1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parametry nowo</w:t>
            </w:r>
            <w:r w:rsidR="0025169E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realizowanej miejskiej sieci ciepłowniczej:</w:t>
            </w:r>
          </w:p>
          <w:p w14:paraId="16D8785E" w14:textId="4D73F0A0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w sezonie grzewczym obliczeniowa temperatura sieci cieplnej, zmienna w funkcji temperatury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powietrza zewnętrznego: 135°/65° C,</w:t>
            </w:r>
          </w:p>
          <w:p w14:paraId="36F0810A" w14:textId="686F1D24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w sezonie letnim stała temperatura czynnika grzewczego: 70°/30° C, a w przypadku ciepła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technologicznego: 70°/45° C;</w:t>
            </w:r>
          </w:p>
          <w:p w14:paraId="439324F0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3) zakaz stosowania paliw stałych w obiektach budowlanych.</w:t>
            </w:r>
          </w:p>
          <w:p w14:paraId="7EFCEFE3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6. W zakresie zaopatrzenia w energię elektryczną ustala się:</w:t>
            </w:r>
          </w:p>
          <w:p w14:paraId="38958497" w14:textId="52773F5A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doprowadzenie energii elektrycznej do odbiorców w oparciu o stacje transformatorowe SN/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oraz sieć elektroenergetyczną średniego i niskiego napięcia;</w:t>
            </w:r>
          </w:p>
          <w:p w14:paraId="08B180D0" w14:textId="2574DBA2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budowę, rozbudowę i przebudowę sieci elektroenergetycznej jako sieć doziemną oraz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napowietrzną;</w:t>
            </w:r>
          </w:p>
          <w:p w14:paraId="5A9FC3B1" w14:textId="0D826E99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3) budowę stacji transformatorowych SN/</w:t>
            </w:r>
            <w:proofErr w:type="spellStart"/>
            <w:r w:rsidRPr="009152E8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9152E8">
              <w:rPr>
                <w:rFonts w:cstheme="minorHAnsi"/>
                <w:sz w:val="20"/>
                <w:szCs w:val="20"/>
              </w:rPr>
              <w:t xml:space="preserve"> jako stacji podziemnych, wnętrzowych wolnostojących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lub umieszczonych wewnątrz obiektów;</w:t>
            </w:r>
          </w:p>
          <w:p w14:paraId="3E2354BD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4) minimalny przekrój:</w:t>
            </w:r>
          </w:p>
          <w:p w14:paraId="6C769EAA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a) napowietrznych przewodów niskiego i średniego napięcia - 25 mm2,</w:t>
            </w:r>
          </w:p>
          <w:p w14:paraId="1DB1CEF4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b) doziemnych przewodów niskiego i średniego napięcia - 16 mm2.</w:t>
            </w:r>
          </w:p>
          <w:p w14:paraId="495D2F65" w14:textId="77777777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7. W zakresie telekomunikacji ustala się:</w:t>
            </w:r>
          </w:p>
          <w:p w14:paraId="14B5AD61" w14:textId="397F2C61" w:rsidR="005272EF" w:rsidRPr="009152E8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1) zaspokojenie potrzeb odbiorców w oparciu o istniejącą infrastrukturę telekomunikacyjną oraz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poprzez rozbudowę lub budowę nowych obiektów i urządzeń budowlanych telekomunikacyjnych,</w:t>
            </w:r>
          </w:p>
          <w:p w14:paraId="30DDFC35" w14:textId="77777777" w:rsidR="00804191" w:rsidRPr="009152E8" w:rsidRDefault="005272EF" w:rsidP="008041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z uwzględnieniem pozostałych ustaleń planu;</w:t>
            </w:r>
          </w:p>
          <w:p w14:paraId="4ACF382F" w14:textId="6235467C" w:rsidR="00EA1C22" w:rsidRPr="009152E8" w:rsidRDefault="005272EF" w:rsidP="008041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2) w przypadku realizacji obiektów liniowych, wykonanie ich jako kablową sieć doziemną.</w:t>
            </w:r>
          </w:p>
        </w:tc>
      </w:tr>
      <w:tr w:rsidR="00474DBB" w:rsidRPr="009152E8" w14:paraId="7A5033C8" w14:textId="77777777" w:rsidTr="005323C5">
        <w:trPr>
          <w:trHeight w:val="288"/>
        </w:trPr>
        <w:tc>
          <w:tcPr>
            <w:tcW w:w="1932" w:type="dxa"/>
            <w:vMerge w:val="restart"/>
            <w:shd w:val="clear" w:color="auto" w:fill="F3F3F3"/>
          </w:tcPr>
          <w:p w14:paraId="6985A990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7C6D938" w14:textId="706BCCF1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 w:rsidRPr="009152E8">
              <w:rPr>
                <w:rFonts w:eastAsia="Times New Roman" w:cstheme="minorHAnsi"/>
                <w:sz w:val="20"/>
                <w:szCs w:val="20"/>
                <w:vertAlign w:val="superscript"/>
              </w:rPr>
              <w:footnoteReference w:customMarkFollows="1" w:id="6"/>
              <w:t>5)</w:t>
            </w:r>
          </w:p>
        </w:tc>
        <w:tc>
          <w:tcPr>
            <w:tcW w:w="1891" w:type="dxa"/>
          </w:tcPr>
          <w:p w14:paraId="3288265E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5811" w:type="dxa"/>
            <w:gridSpan w:val="3"/>
          </w:tcPr>
          <w:p w14:paraId="153E320C" w14:textId="77777777" w:rsidR="00474DBB" w:rsidRPr="009152E8" w:rsidRDefault="00D07234" w:rsidP="002F2A07">
            <w:pPr>
              <w:spacing w:beforeLines="60" w:before="144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MN/MWn.15, 16, 19 – tereny zabudowy mieszkaniowej jednorodzinnej i wielorodzinnej niskiej intensywności</w:t>
            </w:r>
          </w:p>
          <w:p w14:paraId="75641E16" w14:textId="77777777" w:rsidR="00D07234" w:rsidRPr="009152E8" w:rsidRDefault="00D07234" w:rsidP="002F2A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MN.4 – tereny zabudowy mieszkaniowej jednorodzinnej</w:t>
            </w:r>
          </w:p>
          <w:p w14:paraId="1E2DA69C" w14:textId="77777777" w:rsidR="00D07234" w:rsidRPr="009152E8" w:rsidRDefault="00D07234" w:rsidP="002F2A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KDD.4 – planowana droga</w:t>
            </w:r>
          </w:p>
          <w:p w14:paraId="6595B5D3" w14:textId="77777777" w:rsidR="00D07234" w:rsidRPr="009152E8" w:rsidRDefault="00D07234" w:rsidP="002F2A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KDX.4 – teren ciągów pieszych o podstawowym przeznaczeniu pod ruch pieszy, z możliwym dopuszczeniem ruchu rowerowego</w:t>
            </w:r>
          </w:p>
          <w:p w14:paraId="22EDBDB3" w14:textId="77777777" w:rsidR="00D07234" w:rsidRPr="009152E8" w:rsidRDefault="00D07234" w:rsidP="002F2A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KDL.2 – teren dróg publicznych klasy lokalnej</w:t>
            </w:r>
          </w:p>
          <w:p w14:paraId="2C34A2A4" w14:textId="78269EF7" w:rsidR="00ED2283" w:rsidRPr="009152E8" w:rsidRDefault="00ED2283" w:rsidP="002F2A0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ZP.4 – teren zieleni pod publicznie dostępny park</w:t>
            </w:r>
          </w:p>
        </w:tc>
      </w:tr>
      <w:tr w:rsidR="00474DBB" w:rsidRPr="009152E8" w14:paraId="2AE11F40" w14:textId="77777777" w:rsidTr="005323C5">
        <w:trPr>
          <w:trHeight w:val="288"/>
        </w:trPr>
        <w:tc>
          <w:tcPr>
            <w:tcW w:w="1932" w:type="dxa"/>
            <w:vMerge/>
            <w:shd w:val="clear" w:color="auto" w:fill="F3F3F3"/>
          </w:tcPr>
          <w:p w14:paraId="71DF876C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275B3F89" w14:textId="356E27A9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intensywność zabudowy</w:t>
            </w:r>
          </w:p>
        </w:tc>
        <w:tc>
          <w:tcPr>
            <w:tcW w:w="5811" w:type="dxa"/>
            <w:gridSpan w:val="3"/>
          </w:tcPr>
          <w:p w14:paraId="0F1E78D1" w14:textId="77777777" w:rsidR="00474DBB" w:rsidRPr="009152E8" w:rsidRDefault="002F2A07" w:rsidP="00890761">
            <w:pPr>
              <w:spacing w:beforeLines="60" w:before="144"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MN/MWn.15, 16, 19  - wskaźnik intensywności zabudowy 0,1-1,0</w:t>
            </w:r>
          </w:p>
          <w:p w14:paraId="72A123A3" w14:textId="457B9C3B" w:rsidR="002F2A07" w:rsidRPr="009152E8" w:rsidRDefault="00890761" w:rsidP="008907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MN.4 - wskaźnik intensywności zabudowy 0,1-0,4</w:t>
            </w:r>
          </w:p>
        </w:tc>
      </w:tr>
      <w:tr w:rsidR="00474DBB" w:rsidRPr="009152E8" w14:paraId="32012F94" w14:textId="77777777" w:rsidTr="005323C5">
        <w:trPr>
          <w:trHeight w:val="288"/>
        </w:trPr>
        <w:tc>
          <w:tcPr>
            <w:tcW w:w="1932" w:type="dxa"/>
            <w:vMerge/>
            <w:shd w:val="clear" w:color="auto" w:fill="F3F3F3"/>
          </w:tcPr>
          <w:p w14:paraId="6D1EACFC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CDF3DBA" w14:textId="28361EF3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i minimalna nadziemna intensywność zabudowy</w:t>
            </w:r>
          </w:p>
        </w:tc>
        <w:tc>
          <w:tcPr>
            <w:tcW w:w="5811" w:type="dxa"/>
            <w:gridSpan w:val="3"/>
          </w:tcPr>
          <w:p w14:paraId="0B4F5D6A" w14:textId="77777777" w:rsidR="00890761" w:rsidRPr="009152E8" w:rsidRDefault="00890761" w:rsidP="00890761">
            <w:pPr>
              <w:spacing w:beforeLines="60" w:before="144"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MN/MWn.15, 16, 19  - wskaźnik intensywności zabudowy 0,1-1,0</w:t>
            </w:r>
          </w:p>
          <w:p w14:paraId="2B4FDDEA" w14:textId="32256DFC" w:rsidR="00474DBB" w:rsidRPr="009152E8" w:rsidRDefault="00890761" w:rsidP="008907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MN.4 - wskaźnik intensywności zabudowy 0,1-0,4</w:t>
            </w:r>
          </w:p>
        </w:tc>
      </w:tr>
      <w:tr w:rsidR="00474DBB" w:rsidRPr="009152E8" w14:paraId="3FE8AB00" w14:textId="77777777" w:rsidTr="005323C5">
        <w:trPr>
          <w:trHeight w:val="288"/>
        </w:trPr>
        <w:tc>
          <w:tcPr>
            <w:tcW w:w="1932" w:type="dxa"/>
            <w:vMerge/>
            <w:shd w:val="clear" w:color="auto" w:fill="F3F3F3"/>
          </w:tcPr>
          <w:p w14:paraId="1978979E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25D592C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5811" w:type="dxa"/>
            <w:gridSpan w:val="3"/>
          </w:tcPr>
          <w:p w14:paraId="4D377165" w14:textId="77777777" w:rsidR="00474DBB" w:rsidRPr="009152E8" w:rsidRDefault="002F2A07" w:rsidP="00890761">
            <w:pPr>
              <w:spacing w:beforeLines="60" w:before="144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MN/MWn.15, 16, 19  </w:t>
            </w:r>
            <w:r w:rsidRPr="009152E8">
              <w:rPr>
                <w:rFonts w:cstheme="minorHAnsi"/>
                <w:sz w:val="20"/>
                <w:szCs w:val="20"/>
              </w:rPr>
              <w:t>12m; w wyznaczonej strefie powiązań ekologicznych i przewietrzania 9m</w:t>
            </w:r>
          </w:p>
          <w:p w14:paraId="1232BF7C" w14:textId="1A18D3A2" w:rsidR="00890761" w:rsidRPr="009152E8" w:rsidRDefault="00890761" w:rsidP="0089076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MN.4 – 9m, przy realizacji dachu płaskiego 8m</w:t>
            </w:r>
          </w:p>
        </w:tc>
      </w:tr>
      <w:tr w:rsidR="00474DBB" w:rsidRPr="009152E8" w14:paraId="2D9B0B48" w14:textId="77777777" w:rsidTr="005323C5">
        <w:trPr>
          <w:trHeight w:val="288"/>
        </w:trPr>
        <w:tc>
          <w:tcPr>
            <w:tcW w:w="1932" w:type="dxa"/>
            <w:vMerge/>
            <w:shd w:val="clear" w:color="auto" w:fill="F3F3F3"/>
          </w:tcPr>
          <w:p w14:paraId="78F81392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013CC5C" w14:textId="4DA64F1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Maksymalna powierzchnia zabudowy</w:t>
            </w:r>
          </w:p>
        </w:tc>
        <w:tc>
          <w:tcPr>
            <w:tcW w:w="5811" w:type="dxa"/>
            <w:gridSpan w:val="3"/>
          </w:tcPr>
          <w:p w14:paraId="7293DD3B" w14:textId="73211952" w:rsidR="00474DBB" w:rsidRPr="009152E8" w:rsidRDefault="00655893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7FA55D82" w14:textId="77777777" w:rsidTr="005323C5">
        <w:trPr>
          <w:trHeight w:val="288"/>
        </w:trPr>
        <w:tc>
          <w:tcPr>
            <w:tcW w:w="1932" w:type="dxa"/>
            <w:vMerge/>
            <w:shd w:val="clear" w:color="auto" w:fill="F3F3F3"/>
          </w:tcPr>
          <w:p w14:paraId="5BF4E641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D3241D9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5811" w:type="dxa"/>
            <w:gridSpan w:val="3"/>
          </w:tcPr>
          <w:p w14:paraId="11E2FE68" w14:textId="77777777" w:rsidR="00474DBB" w:rsidRPr="009152E8" w:rsidRDefault="002F2A07" w:rsidP="00474DBB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MN/MWn.15, 16, 19 - </w:t>
            </w:r>
            <w:r w:rsidR="00301E3C" w:rsidRPr="009152E8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474DBB" w:rsidRPr="009152E8">
              <w:rPr>
                <w:rFonts w:cstheme="minorHAnsi"/>
                <w:color w:val="000000" w:themeColor="text1"/>
                <w:sz w:val="20"/>
                <w:szCs w:val="20"/>
              </w:rPr>
              <w:t>0%</w:t>
            </w:r>
          </w:p>
          <w:p w14:paraId="02AA0A35" w14:textId="77777777" w:rsidR="00890761" w:rsidRPr="009152E8" w:rsidRDefault="00890761" w:rsidP="00474DBB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MN.4 – 60%</w:t>
            </w:r>
          </w:p>
          <w:p w14:paraId="6C1513CC" w14:textId="06A3D475" w:rsidR="00890761" w:rsidRPr="009152E8" w:rsidRDefault="00890761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ZP.4 – 50%</w:t>
            </w:r>
          </w:p>
        </w:tc>
      </w:tr>
      <w:tr w:rsidR="00474DBB" w:rsidRPr="009152E8" w14:paraId="0F69D528" w14:textId="77777777" w:rsidTr="005323C5">
        <w:trPr>
          <w:trHeight w:val="288"/>
        </w:trPr>
        <w:tc>
          <w:tcPr>
            <w:tcW w:w="1932" w:type="dxa"/>
            <w:vMerge/>
            <w:shd w:val="clear" w:color="auto" w:fill="F3F3F3"/>
          </w:tcPr>
          <w:p w14:paraId="060153B8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BF56752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5811" w:type="dxa"/>
            <w:gridSpan w:val="3"/>
          </w:tcPr>
          <w:p w14:paraId="48AACB21" w14:textId="77777777" w:rsidR="00474DBB" w:rsidRPr="009152E8" w:rsidRDefault="002F2A07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MN/MWn.15, 16, 19  - </w:t>
            </w:r>
            <w:r w:rsidR="00474DBB"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1,2 miejsca na 1 mieszkanie</w:t>
            </w:r>
          </w:p>
          <w:p w14:paraId="1089BECF" w14:textId="64EADF9E" w:rsidR="00890761" w:rsidRPr="009152E8" w:rsidRDefault="00890761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MN.4 – 2 miejsca na 1 dom</w:t>
            </w:r>
          </w:p>
        </w:tc>
      </w:tr>
      <w:tr w:rsidR="00474DBB" w:rsidRPr="009152E8" w14:paraId="60E504A2" w14:textId="77777777" w:rsidTr="005323C5">
        <w:trPr>
          <w:trHeight w:val="839"/>
        </w:trPr>
        <w:tc>
          <w:tcPr>
            <w:tcW w:w="1932" w:type="dxa"/>
            <w:vMerge w:val="restart"/>
            <w:shd w:val="clear" w:color="auto" w:fill="F3F3F3"/>
          </w:tcPr>
          <w:p w14:paraId="6A231DB8" w14:textId="018890B9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14:paraId="603812E7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23A19CF" w14:textId="77777777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045657A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Funkcja zabudowy i zagospodarowania terenu</w:t>
            </w:r>
          </w:p>
        </w:tc>
        <w:tc>
          <w:tcPr>
            <w:tcW w:w="5811" w:type="dxa"/>
            <w:gridSpan w:val="3"/>
          </w:tcPr>
          <w:p w14:paraId="3BB9C5C6" w14:textId="471E155F" w:rsidR="00474DBB" w:rsidRPr="009152E8" w:rsidRDefault="00991149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16ABC462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4CEFB489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02" w:type="dxa"/>
            <w:gridSpan w:val="4"/>
          </w:tcPr>
          <w:p w14:paraId="22EDC503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Cechy zabudowy i zagospodarowania terenu:</w:t>
            </w:r>
          </w:p>
        </w:tc>
      </w:tr>
      <w:tr w:rsidR="00474DBB" w:rsidRPr="009152E8" w14:paraId="79705F2C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5699913B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C657606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5811" w:type="dxa"/>
            <w:gridSpan w:val="3"/>
          </w:tcPr>
          <w:p w14:paraId="3B6DAC1B" w14:textId="42D83396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27A877F0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6700133E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8EF1FE6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5811" w:type="dxa"/>
            <w:gridSpan w:val="3"/>
          </w:tcPr>
          <w:p w14:paraId="58A75D05" w14:textId="57861000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03ED5EA7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050DF3FA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35583BC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5811" w:type="dxa"/>
            <w:gridSpan w:val="3"/>
          </w:tcPr>
          <w:p w14:paraId="02AB6279" w14:textId="0B43F9D1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4E4C99E9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4454E3F8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7BA6D84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5811" w:type="dxa"/>
            <w:gridSpan w:val="3"/>
          </w:tcPr>
          <w:p w14:paraId="16080FA3" w14:textId="4CDFC39A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690AECD4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6BB9543C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FE184C6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5811" w:type="dxa"/>
            <w:gridSpan w:val="3"/>
          </w:tcPr>
          <w:p w14:paraId="49AF66E3" w14:textId="1641AAD3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76787FF5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632C5D1A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7FC915A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5811" w:type="dxa"/>
            <w:gridSpan w:val="3"/>
          </w:tcPr>
          <w:p w14:paraId="6F60FA8A" w14:textId="6B79ED5B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6DD2845C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07D1D5B7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8007CC3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5811" w:type="dxa"/>
            <w:gridSpan w:val="3"/>
          </w:tcPr>
          <w:p w14:paraId="65BF0FEB" w14:textId="236BD46D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3B65A786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402C9D08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A910D0F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5811" w:type="dxa"/>
            <w:gridSpan w:val="3"/>
          </w:tcPr>
          <w:p w14:paraId="79AEA10F" w14:textId="787BB915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53C9962F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45D888E2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F0831B3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warunki i szczegółowe zasady 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obsługi w zakresie komunikacji</w:t>
            </w:r>
          </w:p>
        </w:tc>
        <w:tc>
          <w:tcPr>
            <w:tcW w:w="5811" w:type="dxa"/>
            <w:gridSpan w:val="3"/>
          </w:tcPr>
          <w:p w14:paraId="18677393" w14:textId="2146FB05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>Nie dotyczy</w:t>
            </w:r>
          </w:p>
        </w:tc>
      </w:tr>
      <w:tr w:rsidR="00474DBB" w:rsidRPr="009152E8" w14:paraId="63FCDB76" w14:textId="77777777" w:rsidTr="005323C5">
        <w:trPr>
          <w:trHeight w:val="181"/>
        </w:trPr>
        <w:tc>
          <w:tcPr>
            <w:tcW w:w="1932" w:type="dxa"/>
            <w:vMerge/>
            <w:shd w:val="clear" w:color="auto" w:fill="F3F3F3"/>
          </w:tcPr>
          <w:p w14:paraId="7793635C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C57BBE7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5811" w:type="dxa"/>
            <w:gridSpan w:val="3"/>
          </w:tcPr>
          <w:p w14:paraId="7CD073F1" w14:textId="655C33EE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672276D7" w14:textId="77777777" w:rsidTr="005323C5">
        <w:trPr>
          <w:trHeight w:val="73"/>
        </w:trPr>
        <w:tc>
          <w:tcPr>
            <w:tcW w:w="1932" w:type="dxa"/>
            <w:vMerge/>
            <w:shd w:val="clear" w:color="auto" w:fill="F3F3F3"/>
          </w:tcPr>
          <w:p w14:paraId="76652CA1" w14:textId="77777777" w:rsidR="00474DBB" w:rsidRPr="009152E8" w:rsidRDefault="00474DBB" w:rsidP="00474DBB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226E187F" w14:textId="2E263279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Minimalny udział procentowy powierzchni biologicznie czynnej</w:t>
            </w:r>
          </w:p>
        </w:tc>
        <w:tc>
          <w:tcPr>
            <w:tcW w:w="5811" w:type="dxa"/>
            <w:gridSpan w:val="3"/>
          </w:tcPr>
          <w:p w14:paraId="74AE8B49" w14:textId="2A58D698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49427484" w14:textId="77777777" w:rsidTr="005323C5">
        <w:trPr>
          <w:trHeight w:val="73"/>
        </w:trPr>
        <w:tc>
          <w:tcPr>
            <w:tcW w:w="1932" w:type="dxa"/>
            <w:vMerge/>
            <w:shd w:val="clear" w:color="auto" w:fill="F3F3F3"/>
          </w:tcPr>
          <w:p w14:paraId="6CDFC623" w14:textId="77777777" w:rsidR="00474DBB" w:rsidRPr="009152E8" w:rsidRDefault="00474DBB" w:rsidP="00474DBB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FC11B02" w14:textId="2415D041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Nadziemna intensywność zabudowy</w:t>
            </w:r>
          </w:p>
        </w:tc>
        <w:tc>
          <w:tcPr>
            <w:tcW w:w="5811" w:type="dxa"/>
            <w:gridSpan w:val="3"/>
          </w:tcPr>
          <w:p w14:paraId="0E3603F5" w14:textId="42E9DD0E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25022D53" w14:textId="77777777" w:rsidTr="005323C5">
        <w:trPr>
          <w:trHeight w:val="73"/>
        </w:trPr>
        <w:tc>
          <w:tcPr>
            <w:tcW w:w="1932" w:type="dxa"/>
            <w:vMerge/>
            <w:shd w:val="clear" w:color="auto" w:fill="F3F3F3"/>
          </w:tcPr>
          <w:p w14:paraId="66D82B93" w14:textId="77777777" w:rsidR="00474DBB" w:rsidRPr="009152E8" w:rsidRDefault="00474DBB" w:rsidP="00474DBB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E0CA569" w14:textId="2F174752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Wysokość zabudowy </w:t>
            </w:r>
          </w:p>
        </w:tc>
        <w:tc>
          <w:tcPr>
            <w:tcW w:w="5811" w:type="dxa"/>
            <w:gridSpan w:val="3"/>
          </w:tcPr>
          <w:p w14:paraId="16325C0D" w14:textId="0E115E78" w:rsidR="00474DBB" w:rsidRPr="009152E8" w:rsidRDefault="00474DBB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474DBB" w:rsidRPr="009152E8" w14:paraId="744CBA6E" w14:textId="77777777" w:rsidTr="005323C5">
        <w:trPr>
          <w:trHeight w:val="73"/>
        </w:trPr>
        <w:tc>
          <w:tcPr>
            <w:tcW w:w="1932" w:type="dxa"/>
            <w:vMerge w:val="restart"/>
            <w:shd w:val="clear" w:color="auto" w:fill="F3F3F3"/>
          </w:tcPr>
          <w:p w14:paraId="767C21E5" w14:textId="05AAF938" w:rsidR="00474DBB" w:rsidRPr="009152E8" w:rsidRDefault="00474DBB" w:rsidP="00474DBB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Informacje dotyczące przewidzianych inwestycji w promieniu 1 km od przedmiotowej nieruchomości</w:t>
            </w:r>
            <w:r w:rsidRPr="009152E8">
              <w:rPr>
                <w:rStyle w:val="Odwoanieprzypisudolnego"/>
                <w:rFonts w:eastAsia="Times New Roman" w:cstheme="minorHAnsi"/>
                <w:sz w:val="20"/>
                <w:szCs w:val="20"/>
              </w:rPr>
              <w:footnoteReference w:customMarkFollows="1" w:id="7"/>
              <w:t>6)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>, zawarte w:</w:t>
            </w:r>
          </w:p>
          <w:p w14:paraId="132D3AD7" w14:textId="77777777" w:rsidR="00474DBB" w:rsidRPr="009152E8" w:rsidRDefault="00474DBB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49370C44" w14:textId="77777777" w:rsidR="00474DBB" w:rsidRPr="009152E8" w:rsidRDefault="00474DBB" w:rsidP="008668ED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5811" w:type="dxa"/>
            <w:gridSpan w:val="3"/>
          </w:tcPr>
          <w:p w14:paraId="6936CF16" w14:textId="678348D3" w:rsidR="00996ED4" w:rsidRPr="009152E8" w:rsidRDefault="00996ED4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 xml:space="preserve">Plan Miejscowy Bronowice-Stelmachów: </w:t>
            </w:r>
          </w:p>
          <w:p w14:paraId="564BD83C" w14:textId="540AE291" w:rsidR="00996ED4" w:rsidRPr="009152E8" w:rsidRDefault="002F6613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nowych odcinków dróg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terenach: KDZ.1, KDL.1, KDL.3, KDD.1, KDD.2, KDD.4, przebudowę dróg w terenach: KDGP.1, KDL.1, KDL.2, KDL.3, KDD.3 oraz budowę ciągów pieszych w terenach KDX.1,KDX.2, KDX.3. KDX.4, KDX.6 i KDX.7</w:t>
            </w:r>
            <w:r w:rsidR="00AF3EDE" w:rsidRPr="009152E8">
              <w:rPr>
                <w:rFonts w:cstheme="minorHAnsi"/>
                <w:sz w:val="20"/>
                <w:szCs w:val="20"/>
              </w:rPr>
              <w:t>.</w:t>
            </w:r>
            <w:r w:rsidR="001E7916" w:rsidRPr="009152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4D5782" w14:textId="77777777" w:rsidR="00996ED4" w:rsidRPr="009152E8" w:rsidRDefault="00996ED4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</w:p>
          <w:p w14:paraId="2170D4ED" w14:textId="77777777" w:rsidR="004549B7" w:rsidRPr="009152E8" w:rsidRDefault="004549B7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 xml:space="preserve">Plan Miejscowy Azory-Zachów: </w:t>
            </w:r>
          </w:p>
          <w:p w14:paraId="660E0B25" w14:textId="6A90DBCB" w:rsidR="00996ED4" w:rsidRPr="009152E8" w:rsidRDefault="004549B7" w:rsidP="0093354C">
            <w:pPr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nowych odcinków dróg w terenach: KDGPT.1, KDL.3, KDL.5, budowę drogi serwisowej lub pasa serwisowego w terenie KDGPT.1, budowę estakady drogowej w terenie KDGPT.1, przebudowę odcinków dróg w terenach: KDGPT.1, KDL.1, KDL.2, KDL.4, KDD.2, KDD.3, KDD.4, budowę ciągów pieszych w terenach: KDX.1, KDX.2, budowę linii tramwajowej wzdłuż ul. Josepha Conrada w terenie KDGPT.1.</w:t>
            </w:r>
          </w:p>
          <w:p w14:paraId="30510CA6" w14:textId="301E6680" w:rsidR="002F6613" w:rsidRPr="009152E8" w:rsidRDefault="002F6613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Azory – Rejon ulic: Stachiewicza – Czerwieńskiego:</w:t>
            </w:r>
          </w:p>
          <w:p w14:paraId="71B55665" w14:textId="3C138F5E" w:rsidR="006D44E8" w:rsidRPr="009152E8" w:rsidRDefault="00837BBD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linii tramwajowej wzdłuż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ul. Opolskiej w terenie KDGPT.1 oraz w ciągu ul. Weissa w terenie KDZT.1.</w:t>
            </w:r>
          </w:p>
          <w:p w14:paraId="3F166496" w14:textId="77777777" w:rsidR="00804191" w:rsidRPr="009152E8" w:rsidRDefault="00804191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</w:p>
          <w:p w14:paraId="73FE7B2D" w14:textId="7965D3EC" w:rsidR="006D44E8" w:rsidRPr="009152E8" w:rsidRDefault="006D44E8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jc w:val="both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Tonie – Zachód:</w:t>
            </w:r>
          </w:p>
          <w:p w14:paraId="3DE2D084" w14:textId="57429414" w:rsidR="00995F86" w:rsidRPr="009152E8" w:rsidRDefault="00995F86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nowych odcinków dróg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terenach: KDZ.1, KDD.1, KDD.5, KDD.6, KDD.7, KDD.8, KDD.11 i KDD.13, przebudowę dróg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terenach: KDL.1, KDL.2, KDL.3, KDD.2, KDD.3, KDD.4, KDD.9, KDD.10 i KDD.12 oraz</w:t>
            </w:r>
          </w:p>
          <w:p w14:paraId="5A2FE475" w14:textId="123F1FED" w:rsidR="00995F86" w:rsidRPr="009152E8" w:rsidRDefault="00995F86" w:rsidP="0093354C">
            <w:pPr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przebudowę pętli autobusowej w terenie KU.1.</w:t>
            </w:r>
          </w:p>
          <w:p w14:paraId="2539CC2A" w14:textId="77777777" w:rsidR="0093354C" w:rsidRPr="009152E8" w:rsidRDefault="0093354C" w:rsidP="0093354C">
            <w:pPr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</w:p>
          <w:p w14:paraId="42A2B158" w14:textId="75BBD587" w:rsidR="00995F86" w:rsidRPr="009152E8" w:rsidRDefault="00995F86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jc w:val="both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Tonie Łąki:</w:t>
            </w:r>
          </w:p>
          <w:p w14:paraId="5EBF511E" w14:textId="3151B5F0" w:rsidR="00805C64" w:rsidRPr="009152E8" w:rsidRDefault="00805C64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lastRenderedPageBreak/>
              <w:t>Rozbudowa istniejącego układu komunikacyjnego obejmie przebudowę istniejącej drogi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terenie KDL.1 oraz budowę nowych elementów infrastruktury drogowej w terenach: KDD.1,</w:t>
            </w:r>
          </w:p>
          <w:p w14:paraId="31D34370" w14:textId="26BD927A" w:rsidR="00805C64" w:rsidRPr="009152E8" w:rsidRDefault="00805C64" w:rsidP="0093354C">
            <w:pPr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KDX.1 i KDX.2.</w:t>
            </w:r>
          </w:p>
          <w:p w14:paraId="61D0D5A4" w14:textId="77777777" w:rsidR="0093354C" w:rsidRPr="009152E8" w:rsidRDefault="0093354C" w:rsidP="0093354C">
            <w:pPr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</w:p>
          <w:p w14:paraId="544738CC" w14:textId="5D6B02BB" w:rsidR="00805C64" w:rsidRPr="009152E8" w:rsidRDefault="00805C64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jc w:val="both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Bronowice – Rejon Koncentracji Usług:</w:t>
            </w:r>
          </w:p>
          <w:p w14:paraId="17DBD404" w14:textId="6E37ECB8" w:rsidR="00065FDE" w:rsidRPr="009152E8" w:rsidRDefault="00065FDE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nowych odcinków dróg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tramwajowych w terenach: KDT.1 i KDT.2, przebudowę dróg w terenach: KDGPT.1, KDL.1.</w:t>
            </w:r>
            <w:r w:rsidR="0093354C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KDD.1 oraz budowę drogi w terenie KDD.3 i ciągów pieszych w terenach KDX.1, KDX.2 i KDX.3.</w:t>
            </w:r>
          </w:p>
          <w:p w14:paraId="6158A401" w14:textId="77777777" w:rsidR="0093354C" w:rsidRPr="009152E8" w:rsidRDefault="0093354C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</w:p>
          <w:p w14:paraId="1C929ED1" w14:textId="1F06D981" w:rsidR="00065FDE" w:rsidRPr="009152E8" w:rsidRDefault="00972B6A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jc w:val="both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Rejon ul. Pachońskiego, Wyki, Łokietka:</w:t>
            </w:r>
          </w:p>
          <w:p w14:paraId="2953C5A6" w14:textId="60A250BD" w:rsidR="00972B6A" w:rsidRPr="009152E8" w:rsidRDefault="00972B6A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nowych odcinków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infrastruktury drogowej w terenach: KDGPT.1, KDZ.1, KDD.13, KDX.2, KDX.3, KDX.5, KDX.7</w:t>
            </w:r>
          </w:p>
          <w:p w14:paraId="71653731" w14:textId="7E735A40" w:rsidR="00805C64" w:rsidRPr="009152E8" w:rsidRDefault="00972B6A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i KDW.4 oraz przebudowę istniejącej infrastruktury drogowej w terenach: KDL.1, KDD.1, KDD.3,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KDD.7, KDD.8, KDD.9, KDD.10, KDD.11, KDD.12 i KDX.5.</w:t>
            </w:r>
          </w:p>
          <w:p w14:paraId="09E0D481" w14:textId="77777777" w:rsidR="00972B6A" w:rsidRPr="009152E8" w:rsidRDefault="00972B6A" w:rsidP="0093354C">
            <w:pPr>
              <w:spacing w:after="0" w:line="240" w:lineRule="auto"/>
              <w:ind w:left="57" w:hanging="26"/>
              <w:jc w:val="both"/>
              <w:rPr>
                <w:rFonts w:cstheme="minorHAnsi"/>
                <w:sz w:val="20"/>
                <w:szCs w:val="20"/>
              </w:rPr>
            </w:pPr>
          </w:p>
          <w:p w14:paraId="204ABF0A" w14:textId="39FA8693" w:rsidR="00972B6A" w:rsidRPr="009152E8" w:rsidRDefault="00972B6A" w:rsidP="009335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57" w:hanging="26"/>
              <w:jc w:val="both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Rejon ulic Łokietka - Glogera:</w:t>
            </w:r>
          </w:p>
          <w:p w14:paraId="5FDE7574" w14:textId="05B49E23" w:rsidR="000C02CB" w:rsidRPr="009152E8" w:rsidRDefault="00433BA8" w:rsidP="0093354C">
            <w:pPr>
              <w:autoSpaceDE w:val="0"/>
              <w:autoSpaceDN w:val="0"/>
              <w:adjustRightInd w:val="0"/>
              <w:spacing w:after="0" w:line="240" w:lineRule="auto"/>
              <w:ind w:left="57" w:hanging="26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Rozbudowa istniejącego układu komunikacyjnego obejmie budowę nowych odcinków dróg</w:t>
            </w:r>
            <w:r w:rsidR="0064591B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w terenach: KDG.1, KDZ.1, KDL.2, KDL.3, KDL.4, KDL.5, KDL.6, KDL.7, KDD.2,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KDD.9,KDD.12, KDD.13 oraz przebudowę odcinków dróg w terenach: KDZ.2, KDL.3, KDL.11,</w:t>
            </w:r>
            <w:r w:rsidR="00804191" w:rsidRPr="009152E8">
              <w:rPr>
                <w:rFonts w:cstheme="minorHAnsi"/>
                <w:sz w:val="20"/>
                <w:szCs w:val="20"/>
              </w:rPr>
              <w:t xml:space="preserve"> </w:t>
            </w:r>
            <w:r w:rsidRPr="009152E8">
              <w:rPr>
                <w:rFonts w:cstheme="minorHAnsi"/>
                <w:sz w:val="20"/>
                <w:szCs w:val="20"/>
              </w:rPr>
              <w:t>KDL.12, KDD.3, KDD.4, KDD.5, KDD.7, KDD.8, KDD.11, KDD.12.</w:t>
            </w:r>
          </w:p>
        </w:tc>
      </w:tr>
      <w:tr w:rsidR="00991149" w:rsidRPr="009152E8" w14:paraId="3686FA12" w14:textId="77777777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3E98FF41" w14:textId="77777777" w:rsidR="00991149" w:rsidRPr="009152E8" w:rsidRDefault="00991149" w:rsidP="0047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0E852CAB" w14:textId="4DD6BB4E" w:rsidR="00991149" w:rsidRPr="009152E8" w:rsidRDefault="00991149" w:rsidP="00991149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5811" w:type="dxa"/>
            <w:gridSpan w:val="3"/>
            <w:vAlign w:val="center"/>
          </w:tcPr>
          <w:p w14:paraId="41DC8085" w14:textId="77777777" w:rsidR="00991149" w:rsidRPr="009152E8" w:rsidRDefault="00991149" w:rsidP="001D42AB">
            <w:pPr>
              <w:spacing w:line="276" w:lineRule="auto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dla analizowanego obszaru</w:t>
            </w:r>
          </w:p>
          <w:p w14:paraId="260F5D9C" w14:textId="77777777" w:rsidR="00991149" w:rsidRPr="009152E8" w:rsidRDefault="00991149" w:rsidP="00474DB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991149" w:rsidRPr="009152E8" w14:paraId="2DB0C107" w14:textId="77777777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73345A8E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3A82E782" w14:textId="51ED737D" w:rsidR="00991149" w:rsidRPr="009152E8" w:rsidRDefault="00991149" w:rsidP="007B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decyzjach o środowiskowych uwarunkowaniach</w:t>
            </w:r>
          </w:p>
        </w:tc>
        <w:tc>
          <w:tcPr>
            <w:tcW w:w="5811" w:type="dxa"/>
            <w:gridSpan w:val="3"/>
          </w:tcPr>
          <w:p w14:paraId="4AF82BAF" w14:textId="1D74755A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dla analizowanego obszaru</w:t>
            </w:r>
          </w:p>
        </w:tc>
      </w:tr>
      <w:tr w:rsidR="00991149" w:rsidRPr="009152E8" w14:paraId="0422AA32" w14:textId="77777777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70E9E4F5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58018CC7" w14:textId="4030CC7F" w:rsidR="00991149" w:rsidRPr="009152E8" w:rsidRDefault="00991149" w:rsidP="007B1B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5811" w:type="dxa"/>
            <w:gridSpan w:val="3"/>
          </w:tcPr>
          <w:p w14:paraId="4E829F36" w14:textId="51EB3390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dla analizowanego obszaru</w:t>
            </w:r>
          </w:p>
        </w:tc>
      </w:tr>
      <w:tr w:rsidR="00991149" w:rsidRPr="009152E8" w14:paraId="2C5173AB" w14:textId="77777777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40E7EFE5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1CEAF2B8" w14:textId="148B7E3E" w:rsidR="00991149" w:rsidRPr="009152E8" w:rsidRDefault="00991149" w:rsidP="008668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miejscowych planach odbudowy</w:t>
            </w:r>
          </w:p>
        </w:tc>
        <w:tc>
          <w:tcPr>
            <w:tcW w:w="5811" w:type="dxa"/>
            <w:gridSpan w:val="3"/>
          </w:tcPr>
          <w:p w14:paraId="7C6E3E1A" w14:textId="55DF7EF2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dla analizowanego obszaru</w:t>
            </w:r>
          </w:p>
        </w:tc>
      </w:tr>
      <w:tr w:rsidR="00991149" w:rsidRPr="009152E8" w14:paraId="34AFA01C" w14:textId="77777777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4BCF234A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6489A240" w14:textId="371F5A25" w:rsidR="00991149" w:rsidRPr="009152E8" w:rsidRDefault="00991149" w:rsidP="008668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5811" w:type="dxa"/>
            <w:gridSpan w:val="3"/>
          </w:tcPr>
          <w:p w14:paraId="0F225F53" w14:textId="27B90154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dla analizowanego obszaru</w:t>
            </w:r>
          </w:p>
        </w:tc>
      </w:tr>
      <w:tr w:rsidR="00991149" w:rsidRPr="009152E8" w14:paraId="4BBCEE09" w14:textId="77777777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509E2B69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07596169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AFAB5EA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Ustalenia decyzji w zakresie rozmieszczenia inwestycji celu publicznego, mogące mieć znaczenie dla terenu objętego przedsięwzięciem deweloperskim lub 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zadaniem inwestycyjnym:</w:t>
            </w:r>
          </w:p>
          <w:p w14:paraId="5EF441CB" w14:textId="60E33447" w:rsidR="00991149" w:rsidRPr="009152E8" w:rsidRDefault="00991149" w:rsidP="008668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14:paraId="5B8D031A" w14:textId="4F219166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1149" w:rsidRPr="009152E8" w14:paraId="6A814F44" w14:textId="55D3C328" w:rsidTr="005323C5">
        <w:trPr>
          <w:trHeight w:val="71"/>
        </w:trPr>
        <w:tc>
          <w:tcPr>
            <w:tcW w:w="1932" w:type="dxa"/>
            <w:vMerge/>
            <w:shd w:val="clear" w:color="auto" w:fill="F3F3F3"/>
          </w:tcPr>
          <w:p w14:paraId="2A04B732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77F0C34D" w14:textId="73B78742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5811" w:type="dxa"/>
            <w:gridSpan w:val="3"/>
          </w:tcPr>
          <w:p w14:paraId="62CCF09A" w14:textId="77777777" w:rsidR="00991149" w:rsidRPr="009152E8" w:rsidRDefault="00991149" w:rsidP="005323C5">
            <w:pPr>
              <w:pStyle w:val="Akapitzlist"/>
              <w:numPr>
                <w:ilvl w:val="0"/>
                <w:numId w:val="14"/>
              </w:numPr>
              <w:spacing w:line="240" w:lineRule="auto"/>
              <w:ind w:left="0"/>
              <w:jc w:val="both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Budowa Linii Tramwajowej o długości ok. 2,5 km podwójnego toru wraz z siecią trakcyjną od pętli </w:t>
            </w:r>
            <w:proofErr w:type="spellStart"/>
            <w:r w:rsidRPr="009152E8">
              <w:rPr>
                <w:rFonts w:asciiTheme="minorHAnsi" w:hAnsiTheme="minorHAnsi" w:cstheme="minorHAnsi"/>
                <w:sz w:val="20"/>
                <w:shd w:val="clear" w:color="auto" w:fill="FFFFFF"/>
              </w:rPr>
              <w:t>Krowodrza</w:t>
            </w:r>
            <w:proofErr w:type="spellEnd"/>
            <w:r w:rsidRPr="009152E8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 Górka, wzdłuż ul. Opolskiej do pętli Azory, z 4 przystankami, towarzyszącą infrastrukturą techniczną, sterowaniem ruchem i informacją pasażerską. Linia będzie biegła od pętli </w:t>
            </w:r>
            <w:proofErr w:type="spellStart"/>
            <w:r w:rsidRPr="009152E8">
              <w:rPr>
                <w:rFonts w:asciiTheme="minorHAnsi" w:hAnsiTheme="minorHAnsi" w:cstheme="minorHAnsi"/>
                <w:sz w:val="20"/>
                <w:shd w:val="clear" w:color="auto" w:fill="FFFFFF"/>
              </w:rPr>
              <w:t>Krowodrza</w:t>
            </w:r>
            <w:proofErr w:type="spellEnd"/>
            <w:r w:rsidRPr="009152E8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 Górka w kierunku północnym do Opolskiej, następnie wzdłuż ulicy Opolskiej po jej południowej stronie, na wysokości ulicy Weissa skręci w lewo, w kierunku południowym. W ramach projektu, w rejonie ul. Weissa powstanie parking P+R na ok. 200 samochodów. W rejonie istniejącej pętli autobusowej „Azory” przewidziano zadaszoną pętlę autobusowo-tramwajową z zakończeniem torowiska w formie krańcówki z rozjazdami trapezowymi. Przewiduje się także budowę kładki rowerowej nad ul. Weissa i przebudowę kładki dla pieszych nad ul. Opolską. Zmodernizowany będzie także układ drogowy powiązany z nową linią tramwajową.</w:t>
            </w:r>
          </w:p>
          <w:p w14:paraId="6B372713" w14:textId="77777777" w:rsidR="00991149" w:rsidRPr="009152E8" w:rsidRDefault="00991149" w:rsidP="005323C5">
            <w:pPr>
              <w:pStyle w:val="Akapitzlist"/>
              <w:numPr>
                <w:ilvl w:val="0"/>
                <w:numId w:val="14"/>
              </w:numPr>
              <w:spacing w:line="240" w:lineRule="auto"/>
              <w:ind w:left="0"/>
              <w:jc w:val="both"/>
              <w:rPr>
                <w:rFonts w:asciiTheme="minorHAnsi" w:eastAsia="Calibr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Na ukończeniu budowa trasy Wolbromskiej </w:t>
            </w:r>
          </w:p>
          <w:p w14:paraId="37F2ABD9" w14:textId="3DE2E9A8" w:rsidR="00991149" w:rsidRPr="009152E8" w:rsidRDefault="00991149" w:rsidP="005323C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  <w:shd w:val="clear" w:color="auto" w:fill="FFFFFF"/>
              </w:rPr>
              <w:t>Budowa Północnej Obwodnicy miasta Krakowa.</w:t>
            </w:r>
          </w:p>
        </w:tc>
      </w:tr>
      <w:tr w:rsidR="00991149" w:rsidRPr="009152E8" w14:paraId="660A6DFC" w14:textId="77777777" w:rsidTr="005323C5">
        <w:trPr>
          <w:trHeight w:val="84"/>
        </w:trPr>
        <w:tc>
          <w:tcPr>
            <w:tcW w:w="1932" w:type="dxa"/>
            <w:vMerge/>
            <w:shd w:val="clear" w:color="auto" w:fill="F3F3F3"/>
          </w:tcPr>
          <w:p w14:paraId="7DCACBED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67FE3656" w14:textId="0F2D716A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5811" w:type="dxa"/>
            <w:gridSpan w:val="3"/>
          </w:tcPr>
          <w:p w14:paraId="79012CE3" w14:textId="77777777" w:rsidR="00991149" w:rsidRPr="009152E8" w:rsidRDefault="00991149" w:rsidP="005323C5">
            <w:pPr>
              <w:spacing w:after="0" w:line="360" w:lineRule="auto"/>
              <w:ind w:left="4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152E8">
              <w:rPr>
                <w:rFonts w:eastAsia="Calibri" w:cstheme="minorHAnsi"/>
                <w:color w:val="000000"/>
                <w:sz w:val="20"/>
                <w:szCs w:val="20"/>
              </w:rPr>
              <w:t xml:space="preserve">Brak dla analizowanego obszaru </w:t>
            </w:r>
          </w:p>
          <w:p w14:paraId="1E77692C" w14:textId="5D64A455" w:rsidR="00991149" w:rsidRPr="009152E8" w:rsidRDefault="00991149" w:rsidP="00FC09C5">
            <w:pPr>
              <w:pStyle w:val="Akapitzlist"/>
              <w:spacing w:line="240" w:lineRule="auto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1149" w:rsidRPr="009152E8" w14:paraId="211DD5DC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392A54CF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28045122" w14:textId="298AEE40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5811" w:type="dxa"/>
            <w:gridSpan w:val="3"/>
          </w:tcPr>
          <w:p w14:paraId="51E2C6F2" w14:textId="77777777" w:rsidR="00991149" w:rsidRPr="009152E8" w:rsidRDefault="00991149" w:rsidP="005323C5">
            <w:pPr>
              <w:spacing w:after="0" w:line="360" w:lineRule="auto"/>
              <w:ind w:left="4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152E8">
              <w:rPr>
                <w:rFonts w:eastAsia="Calibri" w:cstheme="minorHAnsi"/>
                <w:color w:val="000000"/>
                <w:sz w:val="20"/>
                <w:szCs w:val="20"/>
              </w:rPr>
              <w:t xml:space="preserve">Brak dla analizowanego obszaru </w:t>
            </w:r>
          </w:p>
          <w:p w14:paraId="48A94737" w14:textId="77777777" w:rsidR="00991149" w:rsidRPr="009152E8" w:rsidRDefault="00991149" w:rsidP="005323C5">
            <w:pPr>
              <w:spacing w:beforeLines="60" w:before="144" w:afterLines="60" w:after="144" w:line="240" w:lineRule="auto"/>
              <w:ind w:left="4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1149" w:rsidRPr="009152E8" w14:paraId="288B6F4F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10A21A56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35D91EAC" w14:textId="36C185D7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5811" w:type="dxa"/>
            <w:gridSpan w:val="3"/>
          </w:tcPr>
          <w:p w14:paraId="39385010" w14:textId="77777777" w:rsidR="00991149" w:rsidRPr="009152E8" w:rsidRDefault="00991149" w:rsidP="001D42AB">
            <w:pPr>
              <w:spacing w:after="0" w:line="360" w:lineRule="auto"/>
              <w:ind w:left="4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152E8">
              <w:rPr>
                <w:rFonts w:eastAsia="Calibri" w:cstheme="minorHAnsi"/>
                <w:color w:val="000000"/>
                <w:sz w:val="20"/>
                <w:szCs w:val="20"/>
              </w:rPr>
              <w:t xml:space="preserve">Brak dla analizowanego obszaru </w:t>
            </w:r>
          </w:p>
          <w:p w14:paraId="657A869F" w14:textId="77777777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1149" w:rsidRPr="009152E8" w14:paraId="4B724F78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0839F29C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321CF409" w14:textId="6364AA6F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5811" w:type="dxa"/>
            <w:gridSpan w:val="3"/>
          </w:tcPr>
          <w:p w14:paraId="27EB473B" w14:textId="77777777" w:rsidR="00991149" w:rsidRPr="009152E8" w:rsidRDefault="00991149" w:rsidP="001D42AB">
            <w:pPr>
              <w:spacing w:after="0" w:line="360" w:lineRule="auto"/>
              <w:ind w:left="4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152E8">
              <w:rPr>
                <w:rFonts w:eastAsia="Calibri" w:cstheme="minorHAnsi"/>
                <w:color w:val="000000"/>
                <w:sz w:val="20"/>
                <w:szCs w:val="20"/>
              </w:rPr>
              <w:t xml:space="preserve">Brak dla analizowanego obszaru </w:t>
            </w:r>
          </w:p>
          <w:p w14:paraId="1BCABAF0" w14:textId="77777777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1149" w:rsidRPr="009152E8" w14:paraId="08F3651C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7B5F96F7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1D2F82E9" w14:textId="2D0B6A9F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5811" w:type="dxa"/>
            <w:gridSpan w:val="3"/>
          </w:tcPr>
          <w:p w14:paraId="2A062AF5" w14:textId="77777777" w:rsidR="00991149" w:rsidRPr="009152E8" w:rsidRDefault="00991149" w:rsidP="00BA6A4B">
            <w:pPr>
              <w:spacing w:after="0" w:line="360" w:lineRule="auto"/>
              <w:ind w:left="4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152E8">
              <w:rPr>
                <w:rFonts w:eastAsia="Calibri" w:cstheme="minorHAnsi"/>
                <w:color w:val="000000"/>
                <w:sz w:val="20"/>
                <w:szCs w:val="20"/>
              </w:rPr>
              <w:t xml:space="preserve">Brak dla analizowanego obszaru </w:t>
            </w:r>
          </w:p>
          <w:p w14:paraId="42BDDDD1" w14:textId="77777777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1149" w:rsidRPr="009152E8" w14:paraId="5441AA98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7C7A8FE7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04EF7B9F" w14:textId="36ACF991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5811" w:type="dxa"/>
            <w:gridSpan w:val="3"/>
          </w:tcPr>
          <w:p w14:paraId="7266290C" w14:textId="24EF0D0A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opublikowanych decyzji w tym przedmiocie</w:t>
            </w:r>
          </w:p>
        </w:tc>
      </w:tr>
      <w:tr w:rsidR="00991149" w:rsidRPr="009152E8" w14:paraId="70975817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763A5F29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38618ED9" w14:textId="3BF2EA60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5811" w:type="dxa"/>
            <w:gridSpan w:val="3"/>
          </w:tcPr>
          <w:p w14:paraId="11B1E47D" w14:textId="7E56D0CE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opublikowanych decyzji w tym przedmiocie</w:t>
            </w:r>
          </w:p>
        </w:tc>
      </w:tr>
      <w:tr w:rsidR="00991149" w:rsidRPr="009152E8" w14:paraId="3FB29E36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791B4B89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272DB73D" w14:textId="77BD59C6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decyzja o zezwoleniu na realizację inwestycji w zakresie infrastruktury dostępowej</w:t>
            </w:r>
          </w:p>
        </w:tc>
        <w:tc>
          <w:tcPr>
            <w:tcW w:w="5811" w:type="dxa"/>
            <w:gridSpan w:val="3"/>
          </w:tcPr>
          <w:p w14:paraId="1FDB6B5D" w14:textId="00CE5151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opublikowanych decyzji w tym przedmiocie</w:t>
            </w:r>
          </w:p>
        </w:tc>
      </w:tr>
      <w:tr w:rsidR="00991149" w:rsidRPr="009152E8" w14:paraId="4DB36908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426C45C6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4EBD93B2" w14:textId="066D5EF7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5811" w:type="dxa"/>
            <w:gridSpan w:val="3"/>
          </w:tcPr>
          <w:p w14:paraId="59D7FA8A" w14:textId="4949913B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opublikowanych decyzji w tym przedmiocie</w:t>
            </w:r>
          </w:p>
        </w:tc>
      </w:tr>
      <w:tr w:rsidR="00991149" w:rsidRPr="009152E8" w14:paraId="00E2CAE6" w14:textId="77777777" w:rsidTr="005323C5">
        <w:trPr>
          <w:trHeight w:val="81"/>
        </w:trPr>
        <w:tc>
          <w:tcPr>
            <w:tcW w:w="1932" w:type="dxa"/>
            <w:vMerge/>
            <w:shd w:val="clear" w:color="auto" w:fill="F3F3F3"/>
          </w:tcPr>
          <w:p w14:paraId="76D13D22" w14:textId="77777777" w:rsidR="00991149" w:rsidRPr="009152E8" w:rsidRDefault="00991149" w:rsidP="001D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</w:tcPr>
          <w:p w14:paraId="54232A66" w14:textId="77777777" w:rsidR="00991149" w:rsidRPr="009152E8" w:rsidRDefault="00991149" w:rsidP="00DB30D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5811" w:type="dxa"/>
            <w:gridSpan w:val="3"/>
          </w:tcPr>
          <w:p w14:paraId="641E7E5E" w14:textId="30293E3B" w:rsidR="00991149" w:rsidRPr="009152E8" w:rsidRDefault="00991149" w:rsidP="001D42AB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/>
                <w:sz w:val="20"/>
                <w:szCs w:val="20"/>
              </w:rPr>
              <w:t>Brak opublikowanych decyzji w tym przedmiocie</w:t>
            </w:r>
          </w:p>
        </w:tc>
      </w:tr>
      <w:tr w:rsidR="005323C5" w:rsidRPr="009152E8" w14:paraId="6C7AE59D" w14:textId="265569AA" w:rsidTr="005323C5">
        <w:trPr>
          <w:trHeight w:val="390"/>
        </w:trPr>
        <w:tc>
          <w:tcPr>
            <w:tcW w:w="9634" w:type="dxa"/>
            <w:gridSpan w:val="5"/>
            <w:shd w:val="clear" w:color="auto" w:fill="D9D9D9"/>
          </w:tcPr>
          <w:p w14:paraId="237E1F38" w14:textId="7CD7F02F" w:rsidR="005323C5" w:rsidRPr="009152E8" w:rsidRDefault="005323C5" w:rsidP="005323C5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INFORMACJE DOTYCZĄCE BUDYNKU</w:t>
            </w:r>
          </w:p>
        </w:tc>
      </w:tr>
      <w:tr w:rsidR="00991149" w:rsidRPr="009152E8" w14:paraId="4BEBC2BB" w14:textId="77777777" w:rsidTr="005323C5">
        <w:trPr>
          <w:trHeight w:val="390"/>
        </w:trPr>
        <w:tc>
          <w:tcPr>
            <w:tcW w:w="1932" w:type="dxa"/>
            <w:shd w:val="clear" w:color="auto" w:fill="F3F3F3"/>
          </w:tcPr>
          <w:p w14:paraId="41C7A162" w14:textId="343D6947" w:rsidR="00991149" w:rsidRPr="009152E8" w:rsidRDefault="00991149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Czy jest pozwolenie na budowę</w:t>
            </w:r>
          </w:p>
        </w:tc>
        <w:tc>
          <w:tcPr>
            <w:tcW w:w="3969" w:type="dxa"/>
            <w:gridSpan w:val="3"/>
            <w:vAlign w:val="center"/>
          </w:tcPr>
          <w:p w14:paraId="2287156E" w14:textId="41572F76" w:rsidR="00991149" w:rsidRPr="009152E8" w:rsidRDefault="00991149" w:rsidP="001D42AB">
            <w:pPr>
              <w:spacing w:beforeLines="60" w:before="144" w:afterLines="60" w:after="144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tak*</w:t>
            </w:r>
          </w:p>
        </w:tc>
        <w:tc>
          <w:tcPr>
            <w:tcW w:w="3733" w:type="dxa"/>
            <w:vAlign w:val="center"/>
          </w:tcPr>
          <w:p w14:paraId="334DD4DC" w14:textId="37CA551E" w:rsidR="00991149" w:rsidRPr="009152E8" w:rsidRDefault="00991149" w:rsidP="001D42AB">
            <w:pPr>
              <w:spacing w:beforeLines="60" w:before="144" w:afterLines="60" w:after="144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cstheme="minorHAnsi"/>
                <w:strike/>
                <w:color w:val="000000" w:themeColor="text1"/>
                <w:sz w:val="20"/>
                <w:szCs w:val="20"/>
              </w:rPr>
              <w:t>nie</w:t>
            </w: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</w:p>
        </w:tc>
      </w:tr>
      <w:tr w:rsidR="00991149" w:rsidRPr="009152E8" w14:paraId="4D299852" w14:textId="77777777" w:rsidTr="005323C5">
        <w:trPr>
          <w:trHeight w:val="390"/>
        </w:trPr>
        <w:tc>
          <w:tcPr>
            <w:tcW w:w="1932" w:type="dxa"/>
            <w:shd w:val="clear" w:color="auto" w:fill="F3F3F3"/>
          </w:tcPr>
          <w:p w14:paraId="2E9A4C5D" w14:textId="77777777" w:rsidR="00991149" w:rsidRPr="009152E8" w:rsidRDefault="00991149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Czy pozwolenie na budowę jest ostateczne</w:t>
            </w:r>
          </w:p>
        </w:tc>
        <w:tc>
          <w:tcPr>
            <w:tcW w:w="3969" w:type="dxa"/>
            <w:gridSpan w:val="3"/>
            <w:vAlign w:val="center"/>
          </w:tcPr>
          <w:p w14:paraId="707049C0" w14:textId="1E268DB2" w:rsidR="00991149" w:rsidRPr="009152E8" w:rsidRDefault="00991149" w:rsidP="001D42AB">
            <w:pPr>
              <w:spacing w:beforeLines="60" w:before="144" w:afterLines="60" w:after="144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cstheme="minorHAnsi"/>
                <w:color w:val="000000"/>
                <w:sz w:val="20"/>
                <w:szCs w:val="20"/>
              </w:rPr>
              <w:t>tak*</w:t>
            </w:r>
          </w:p>
        </w:tc>
        <w:tc>
          <w:tcPr>
            <w:tcW w:w="3733" w:type="dxa"/>
            <w:vAlign w:val="center"/>
          </w:tcPr>
          <w:p w14:paraId="1ECA2CE9" w14:textId="27D5368B" w:rsidR="00991149" w:rsidRPr="009152E8" w:rsidRDefault="00991149" w:rsidP="001D42AB">
            <w:pPr>
              <w:spacing w:beforeLines="60" w:before="144" w:afterLines="60" w:after="144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trike/>
                <w:sz w:val="20"/>
                <w:szCs w:val="20"/>
              </w:rPr>
              <w:t>nie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</w:tr>
      <w:tr w:rsidR="005323C5" w:rsidRPr="009152E8" w14:paraId="78996A26" w14:textId="77777777" w:rsidTr="005323C5">
        <w:trPr>
          <w:trHeight w:val="390"/>
        </w:trPr>
        <w:tc>
          <w:tcPr>
            <w:tcW w:w="1932" w:type="dxa"/>
            <w:shd w:val="clear" w:color="auto" w:fill="F3F3F3"/>
          </w:tcPr>
          <w:p w14:paraId="4FC56C09" w14:textId="77777777" w:rsidR="005323C5" w:rsidRPr="009152E8" w:rsidRDefault="005323C5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Czy pozwolenie na budowę jest zaskarżone</w:t>
            </w:r>
          </w:p>
        </w:tc>
        <w:tc>
          <w:tcPr>
            <w:tcW w:w="3969" w:type="dxa"/>
            <w:gridSpan w:val="3"/>
            <w:vAlign w:val="center"/>
          </w:tcPr>
          <w:p w14:paraId="63CE84D6" w14:textId="6998B79C" w:rsidR="005323C5" w:rsidRPr="009152E8" w:rsidRDefault="005323C5" w:rsidP="005323C5">
            <w:pPr>
              <w:spacing w:beforeLines="60" w:before="144" w:afterLines="60" w:after="144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trike/>
                <w:sz w:val="20"/>
                <w:szCs w:val="20"/>
              </w:rPr>
              <w:t>tak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3733" w:type="dxa"/>
            <w:vAlign w:val="center"/>
          </w:tcPr>
          <w:p w14:paraId="04CAF158" w14:textId="22C8C001" w:rsidR="005323C5" w:rsidRPr="009152E8" w:rsidRDefault="005323C5" w:rsidP="005323C5">
            <w:pPr>
              <w:spacing w:beforeLines="60" w:before="144" w:afterLines="60" w:after="144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>nie*</w:t>
            </w:r>
          </w:p>
        </w:tc>
      </w:tr>
      <w:tr w:rsidR="005323C5" w:rsidRPr="009152E8" w14:paraId="01F6EC8A" w14:textId="77777777" w:rsidTr="005323C5">
        <w:trPr>
          <w:trHeight w:val="195"/>
        </w:trPr>
        <w:tc>
          <w:tcPr>
            <w:tcW w:w="1932" w:type="dxa"/>
            <w:shd w:val="clear" w:color="auto" w:fill="F3F3F3"/>
          </w:tcPr>
          <w:p w14:paraId="308A21F3" w14:textId="77777777" w:rsidR="005323C5" w:rsidRPr="009152E8" w:rsidRDefault="005323C5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7702" w:type="dxa"/>
            <w:gridSpan w:val="4"/>
          </w:tcPr>
          <w:p w14:paraId="4998E1A6" w14:textId="77777777" w:rsidR="005323C5" w:rsidRPr="00D9493E" w:rsidRDefault="005046A1" w:rsidP="005046A1">
            <w:pPr>
              <w:pStyle w:val="Akapitzlist"/>
              <w:numPr>
                <w:ilvl w:val="0"/>
                <w:numId w:val="25"/>
              </w:numPr>
              <w:spacing w:beforeLines="60" w:before="144" w:afterLines="60" w:after="144"/>
              <w:rPr>
                <w:rFonts w:asciiTheme="minorHAnsi" w:hAnsiTheme="minorHAnsi" w:cstheme="minorHAnsi"/>
                <w:color w:val="5B9BD5" w:themeColor="accent1"/>
                <w:sz w:val="20"/>
              </w:rPr>
            </w:pPr>
            <w:r w:rsidRPr="00D9493E">
              <w:rPr>
                <w:rFonts w:asciiTheme="minorHAnsi" w:hAnsiTheme="minorHAnsi" w:cstheme="minorHAnsi"/>
                <w:sz w:val="20"/>
              </w:rPr>
              <w:t xml:space="preserve">Decyzja Pozwolenie na Budowę nr </w:t>
            </w:r>
            <w:r w:rsidR="00FC09C5" w:rsidRPr="00D9493E">
              <w:rPr>
                <w:rFonts w:asciiTheme="minorHAnsi" w:hAnsiTheme="minorHAnsi" w:cstheme="minorHAnsi"/>
                <w:sz w:val="20"/>
              </w:rPr>
              <w:t>184/6740.1/2025 wydana z upoważnienia Prezydenta Miasta Krakowa w dniu 28 lutego 2025 roku, znak AU-01-2.6740.1.233.2024.BLE</w:t>
            </w:r>
          </w:p>
          <w:p w14:paraId="3E4541B7" w14:textId="146D8FB6" w:rsidR="005046A1" w:rsidRPr="005046A1" w:rsidRDefault="005046A1" w:rsidP="005046A1">
            <w:pPr>
              <w:pStyle w:val="Akapitzlist"/>
              <w:numPr>
                <w:ilvl w:val="0"/>
                <w:numId w:val="25"/>
              </w:numPr>
              <w:spacing w:beforeLines="60" w:before="144" w:afterLines="60" w:after="144"/>
              <w:rPr>
                <w:rFonts w:cstheme="minorHAnsi"/>
                <w:color w:val="5B9BD5" w:themeColor="accent1"/>
                <w:sz w:val="20"/>
              </w:rPr>
            </w:pPr>
            <w:r w:rsidRPr="00D9493E">
              <w:rPr>
                <w:rFonts w:asciiTheme="minorHAnsi" w:hAnsiTheme="minorHAnsi" w:cstheme="minorHAnsi"/>
                <w:sz w:val="20"/>
              </w:rPr>
              <w:t>Decyzja Przenosząca Pozwolenie na Budowę nr 132/6740.5/2025 wydana z upoważnienia Prezydenta Miasta Krakowa w dniu 18 lipca 2025 roku, znak AU-01-8.6740.5.33.2025.ASZ</w:t>
            </w:r>
            <w:r>
              <w:rPr>
                <w:rFonts w:cstheme="minorHAnsi"/>
                <w:sz w:val="20"/>
              </w:rPr>
              <w:t xml:space="preserve"> </w:t>
            </w:r>
          </w:p>
        </w:tc>
      </w:tr>
      <w:tr w:rsidR="005323C5" w:rsidRPr="009152E8" w14:paraId="0BD85C39" w14:textId="77777777" w:rsidTr="005323C5">
        <w:trPr>
          <w:trHeight w:val="195"/>
        </w:trPr>
        <w:tc>
          <w:tcPr>
            <w:tcW w:w="1932" w:type="dxa"/>
            <w:shd w:val="clear" w:color="auto" w:fill="F3F3F3"/>
          </w:tcPr>
          <w:p w14:paraId="78DD228D" w14:textId="77777777" w:rsidR="005323C5" w:rsidRPr="009152E8" w:rsidRDefault="005323C5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Data uprawomocnienia się decyzji o pozwoleniu na użytkowanie budynku</w:t>
            </w:r>
          </w:p>
        </w:tc>
        <w:tc>
          <w:tcPr>
            <w:tcW w:w="7702" w:type="dxa"/>
            <w:gridSpan w:val="4"/>
          </w:tcPr>
          <w:p w14:paraId="568372CF" w14:textId="2B7735F7" w:rsidR="005323C5" w:rsidRPr="009152E8" w:rsidRDefault="005323C5" w:rsidP="005323C5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5B9BD5" w:themeColor="accen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5323C5" w:rsidRPr="009152E8" w14:paraId="0204ACB5" w14:textId="77777777" w:rsidTr="005323C5">
        <w:trPr>
          <w:trHeight w:val="195"/>
        </w:trPr>
        <w:tc>
          <w:tcPr>
            <w:tcW w:w="1932" w:type="dxa"/>
            <w:shd w:val="clear" w:color="auto" w:fill="F3F3F3"/>
          </w:tcPr>
          <w:p w14:paraId="0656B533" w14:textId="77777777" w:rsidR="005323C5" w:rsidRPr="009152E8" w:rsidRDefault="005323C5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Data zakończenia budowy domu jednorodzinnego </w:t>
            </w:r>
          </w:p>
        </w:tc>
        <w:tc>
          <w:tcPr>
            <w:tcW w:w="7702" w:type="dxa"/>
            <w:gridSpan w:val="4"/>
          </w:tcPr>
          <w:p w14:paraId="47722BBC" w14:textId="6669B007" w:rsidR="005323C5" w:rsidRPr="009152E8" w:rsidRDefault="00E90F6A" w:rsidP="005323C5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5B9BD5" w:themeColor="accent1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Nie dotyczy</w:t>
            </w:r>
            <w:r w:rsidR="005323C5" w:rsidRPr="009152E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90F6A" w:rsidRPr="009152E8" w14:paraId="0E3C88C3" w14:textId="6FF08E83" w:rsidTr="000B7EDE">
        <w:trPr>
          <w:trHeight w:val="195"/>
        </w:trPr>
        <w:tc>
          <w:tcPr>
            <w:tcW w:w="1932" w:type="dxa"/>
            <w:shd w:val="clear" w:color="auto" w:fill="F3F3F3"/>
          </w:tcPr>
          <w:p w14:paraId="08625454" w14:textId="77777777" w:rsidR="00E90F6A" w:rsidRPr="009152E8" w:rsidRDefault="00E90F6A" w:rsidP="005323C5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7702" w:type="dxa"/>
            <w:gridSpan w:val="4"/>
          </w:tcPr>
          <w:p w14:paraId="3C4C7C30" w14:textId="7A0F052E" w:rsidR="00E90F6A" w:rsidRPr="009152E8" w:rsidRDefault="00E90F6A" w:rsidP="00E90F6A">
            <w:pPr>
              <w:spacing w:beforeLines="60" w:before="144" w:after="0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Termin rozpoczęcia prac budowlanych </w:t>
            </w:r>
            <w:r w:rsidR="00153470" w:rsidRPr="009152E8">
              <w:rPr>
                <w:rFonts w:cstheme="minorHAnsi"/>
                <w:sz w:val="20"/>
                <w:szCs w:val="20"/>
              </w:rPr>
              <w:t xml:space="preserve">– </w:t>
            </w:r>
            <w:r w:rsidR="00EB3F0F" w:rsidRPr="009152E8">
              <w:rPr>
                <w:rFonts w:cstheme="minorHAnsi"/>
                <w:sz w:val="20"/>
                <w:szCs w:val="20"/>
              </w:rPr>
              <w:t>08.04.</w:t>
            </w:r>
            <w:r w:rsidR="00153470" w:rsidRPr="009152E8">
              <w:rPr>
                <w:rFonts w:cstheme="minorHAnsi"/>
                <w:sz w:val="20"/>
                <w:szCs w:val="20"/>
              </w:rPr>
              <w:t>2025</w:t>
            </w:r>
            <w:r w:rsidR="005A060E" w:rsidRPr="009152E8">
              <w:rPr>
                <w:rFonts w:cstheme="minorHAnsi"/>
                <w:sz w:val="20"/>
                <w:szCs w:val="20"/>
              </w:rPr>
              <w:t>r.</w:t>
            </w:r>
          </w:p>
          <w:p w14:paraId="7A9839BD" w14:textId="0CC36380" w:rsidR="00E90F6A" w:rsidRPr="009152E8" w:rsidRDefault="00E90F6A" w:rsidP="00E90F6A">
            <w:pPr>
              <w:spacing w:beforeLines="60" w:before="144" w:after="0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Planowany termin zakończenia prac budowlanych </w:t>
            </w:r>
            <w:r w:rsidR="00153470" w:rsidRPr="009152E8">
              <w:rPr>
                <w:rFonts w:cstheme="minorHAnsi"/>
                <w:sz w:val="20"/>
                <w:szCs w:val="20"/>
              </w:rPr>
              <w:t>– do 30 września 2026</w:t>
            </w:r>
            <w:r w:rsidR="005A060E" w:rsidRPr="009152E8">
              <w:rPr>
                <w:rFonts w:cstheme="minorHAnsi"/>
                <w:sz w:val="20"/>
                <w:szCs w:val="20"/>
              </w:rPr>
              <w:t>r.</w:t>
            </w:r>
          </w:p>
        </w:tc>
      </w:tr>
      <w:tr w:rsidR="00E90F6A" w:rsidRPr="009152E8" w14:paraId="1F41E918" w14:textId="77777777" w:rsidTr="005323C5">
        <w:trPr>
          <w:trHeight w:val="325"/>
        </w:trPr>
        <w:tc>
          <w:tcPr>
            <w:tcW w:w="1932" w:type="dxa"/>
            <w:vMerge w:val="restart"/>
            <w:shd w:val="clear" w:color="auto" w:fill="F3F3F3"/>
          </w:tcPr>
          <w:p w14:paraId="06B80B35" w14:textId="77777777" w:rsidR="00E90F6A" w:rsidRPr="009152E8" w:rsidRDefault="00E90F6A" w:rsidP="00E90F6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Opis przedsięwzięcia deweloperskiego albo zadania inwestycyjnego</w:t>
            </w:r>
          </w:p>
          <w:p w14:paraId="5D92A4C7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DC84CCB" w14:textId="37630D43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Liczba budynków </w:t>
            </w:r>
          </w:p>
        </w:tc>
        <w:tc>
          <w:tcPr>
            <w:tcW w:w="5811" w:type="dxa"/>
            <w:gridSpan w:val="3"/>
          </w:tcPr>
          <w:p w14:paraId="6836F42A" w14:textId="272DAFCF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Jeden budynek wielorodzinny składający się z trzech segmentów A, B i C zlokalizowanych na garażu podziemnym.</w:t>
            </w:r>
          </w:p>
        </w:tc>
      </w:tr>
      <w:tr w:rsidR="00E90F6A" w:rsidRPr="009152E8" w14:paraId="32D9C5AC" w14:textId="77777777" w:rsidTr="005323C5">
        <w:trPr>
          <w:trHeight w:val="325"/>
        </w:trPr>
        <w:tc>
          <w:tcPr>
            <w:tcW w:w="1932" w:type="dxa"/>
            <w:vMerge/>
            <w:shd w:val="clear" w:color="auto" w:fill="F3F3F3"/>
          </w:tcPr>
          <w:p w14:paraId="3E97FE88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80C85D0" w14:textId="42583191" w:rsidR="00E90F6A" w:rsidRPr="009152E8" w:rsidRDefault="00E90F6A" w:rsidP="00E90F6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Rozmieszczenie budynków na nieruchomości (należy podać minimalny odstęp między budynkami)</w:t>
            </w:r>
          </w:p>
        </w:tc>
        <w:tc>
          <w:tcPr>
            <w:tcW w:w="5811" w:type="dxa"/>
            <w:gridSpan w:val="3"/>
          </w:tcPr>
          <w:p w14:paraId="588FF398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Rozmieszczenie segmentów realizowanych w ramach przedsięwzięcia deweloperskiego na nieruchomości przedstawia 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 xml:space="preserve">załącznik nr 3 </w:t>
            </w:r>
          </w:p>
          <w:p w14:paraId="437677AB" w14:textId="2580EA02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Minimalna odległość między segmentami będzie wynosić 16,6m2 (między segmentem A i B) oraz 40,8m (między segmentem B i C)</w:t>
            </w:r>
          </w:p>
        </w:tc>
      </w:tr>
      <w:tr w:rsidR="00FC09C5" w:rsidRPr="009152E8" w14:paraId="7809D19E" w14:textId="4A722184" w:rsidTr="009848DB">
        <w:trPr>
          <w:trHeight w:val="488"/>
        </w:trPr>
        <w:tc>
          <w:tcPr>
            <w:tcW w:w="1932" w:type="dxa"/>
            <w:shd w:val="clear" w:color="auto" w:fill="F3F3F3"/>
          </w:tcPr>
          <w:p w14:paraId="67811633" w14:textId="77777777" w:rsidR="00FC09C5" w:rsidRPr="009152E8" w:rsidRDefault="00FC09C5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Sposób pomiaru powierzchni użytkowej lokalu mieszkalnego albo domu jednorodzinnego</w:t>
            </w:r>
          </w:p>
        </w:tc>
        <w:tc>
          <w:tcPr>
            <w:tcW w:w="7702" w:type="dxa"/>
            <w:gridSpan w:val="4"/>
          </w:tcPr>
          <w:p w14:paraId="177C98F3" w14:textId="49F3ACFF" w:rsidR="00FC09C5" w:rsidRPr="009152E8" w:rsidRDefault="00FC09C5" w:rsidP="00FC09C5">
            <w:pPr>
              <w:spacing w:beforeLines="60" w:before="144" w:afterLines="60" w:after="144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15625B" w:rsidRPr="009152E8">
              <w:rPr>
                <w:rFonts w:cstheme="minorHAnsi"/>
                <w:sz w:val="20"/>
                <w:szCs w:val="20"/>
              </w:rPr>
              <w:t xml:space="preserve">Zgodnie z normą </w:t>
            </w:r>
            <w:r w:rsidR="000F7434" w:rsidRPr="000F7434">
              <w:rPr>
                <w:color w:val="EE0000"/>
              </w:rPr>
              <w:t>PN-ISO 9836:2015-12.</w:t>
            </w:r>
          </w:p>
        </w:tc>
      </w:tr>
      <w:tr w:rsidR="00E90F6A" w:rsidRPr="009152E8" w14:paraId="0CAFF076" w14:textId="77777777" w:rsidTr="005323C5">
        <w:tc>
          <w:tcPr>
            <w:tcW w:w="1932" w:type="dxa"/>
            <w:vMerge w:val="restart"/>
            <w:shd w:val="clear" w:color="auto" w:fill="F3F3F3"/>
          </w:tcPr>
          <w:p w14:paraId="2BBBA0D2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Zamierzony sposób i procentowy udział źródeł finansowania przedsięwzięcia deweloperskiego lub zadania inwestycyjnego</w:t>
            </w:r>
          </w:p>
          <w:p w14:paraId="58156D08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904B674" w14:textId="79C8D0A2" w:rsidR="00E90F6A" w:rsidRPr="009152E8" w:rsidDel="00E703EC" w:rsidRDefault="00153470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Rodzaj posiadanych środków finansowych – kredyt, środki własne, inne</w:t>
            </w:r>
          </w:p>
        </w:tc>
        <w:tc>
          <w:tcPr>
            <w:tcW w:w="5811" w:type="dxa"/>
            <w:gridSpan w:val="3"/>
          </w:tcPr>
          <w:p w14:paraId="54D86538" w14:textId="5528763B" w:rsidR="00E90F6A" w:rsidRPr="009152E8" w:rsidRDefault="006B6625" w:rsidP="006B6625">
            <w:pPr>
              <w:spacing w:beforeLines="60" w:before="144" w:afterLines="60" w:after="144"/>
              <w:rPr>
                <w:rFonts w:cstheme="minorHAnsi"/>
                <w:color w:val="000000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29,18% kapitał własny</w:t>
            </w:r>
            <w:r w:rsidRPr="009152E8">
              <w:rPr>
                <w:rFonts w:eastAsia="Times New Roman" w:cstheme="minorHAnsi"/>
                <w:sz w:val="20"/>
                <w:szCs w:val="20"/>
              </w:rPr>
              <w:br/>
              <w:t>70,82% kredyt bankowy</w:t>
            </w:r>
          </w:p>
        </w:tc>
      </w:tr>
      <w:tr w:rsidR="00153470" w:rsidRPr="009152E8" w14:paraId="68EAF9BA" w14:textId="77777777" w:rsidTr="005323C5">
        <w:tc>
          <w:tcPr>
            <w:tcW w:w="1932" w:type="dxa"/>
            <w:vMerge/>
            <w:shd w:val="clear" w:color="auto" w:fill="F3F3F3"/>
          </w:tcPr>
          <w:p w14:paraId="3B449446" w14:textId="77777777" w:rsidR="00153470" w:rsidRPr="009152E8" w:rsidRDefault="00153470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0F908FC" w14:textId="54ACEC80" w:rsidR="00153470" w:rsidRPr="009152E8" w:rsidRDefault="00153470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5811" w:type="dxa"/>
            <w:gridSpan w:val="3"/>
          </w:tcPr>
          <w:p w14:paraId="7CDA974A" w14:textId="2493B8C5" w:rsidR="00153470" w:rsidRPr="009152E8" w:rsidRDefault="006B6625" w:rsidP="006B6625">
            <w:pPr>
              <w:spacing w:beforeLines="60" w:before="144" w:afterLines="60" w:after="144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Alior Bank S.A.</w:t>
            </w:r>
          </w:p>
        </w:tc>
      </w:tr>
      <w:tr w:rsidR="00E90F6A" w:rsidRPr="009152E8" w14:paraId="1B40CA58" w14:textId="77777777" w:rsidTr="005323C5">
        <w:tc>
          <w:tcPr>
            <w:tcW w:w="1932" w:type="dxa"/>
            <w:vMerge/>
            <w:shd w:val="clear" w:color="auto" w:fill="F3F3F3"/>
          </w:tcPr>
          <w:p w14:paraId="54A88D8C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14B13EA" w14:textId="5546D875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Otwarty mieszkaniowy rachunek powierniczy*</w:t>
            </w:r>
          </w:p>
        </w:tc>
        <w:tc>
          <w:tcPr>
            <w:tcW w:w="5811" w:type="dxa"/>
            <w:gridSpan w:val="3"/>
          </w:tcPr>
          <w:p w14:paraId="1847F2F8" w14:textId="5816FB77" w:rsidR="00E90F6A" w:rsidRPr="009152E8" w:rsidRDefault="009152E8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A6516">
              <w:rPr>
                <w:rFonts w:eastAsia="Times New Roman" w:cstheme="minorHAnsi"/>
                <w:strike/>
                <w:sz w:val="20"/>
                <w:szCs w:val="20"/>
              </w:rPr>
              <w:t>Zamknięty mieszkaniowy rachunek powierniczy*</w:t>
            </w:r>
          </w:p>
        </w:tc>
      </w:tr>
      <w:tr w:rsidR="00E90F6A" w:rsidRPr="009152E8" w14:paraId="51021B8C" w14:textId="77777777" w:rsidTr="005323C5">
        <w:trPr>
          <w:trHeight w:val="1481"/>
        </w:trPr>
        <w:tc>
          <w:tcPr>
            <w:tcW w:w="1932" w:type="dxa"/>
            <w:shd w:val="clear" w:color="auto" w:fill="F3F3F3"/>
          </w:tcPr>
          <w:p w14:paraId="1F9F58EE" w14:textId="77777777" w:rsidR="00E90F6A" w:rsidRPr="009152E8" w:rsidRDefault="00E90F6A" w:rsidP="00E90F6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Środki ochrony nabywców</w:t>
            </w:r>
          </w:p>
        </w:tc>
        <w:tc>
          <w:tcPr>
            <w:tcW w:w="3733" w:type="dxa"/>
            <w:gridSpan w:val="2"/>
          </w:tcPr>
          <w:p w14:paraId="3F235676" w14:textId="0B4709D4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Wysokość stawki procentowej, według której jest obliczana kwota składki na Deweloperski Fundusz Gwarancyjny</w:t>
            </w:r>
            <w:r w:rsidRPr="009152E8">
              <w:rPr>
                <w:rStyle w:val="Odwoanieprzypisudolnego"/>
                <w:rFonts w:eastAsia="Times New Roman" w:cstheme="minorHAnsi"/>
                <w:sz w:val="20"/>
                <w:szCs w:val="20"/>
              </w:rPr>
              <w:footnoteReference w:customMarkFollows="1" w:id="8"/>
              <w:t>7)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9B8C8F4" w14:textId="54F4F254" w:rsidR="00E90F6A" w:rsidRPr="009152E8" w:rsidRDefault="00E90F6A" w:rsidP="00E90F6A">
            <w:pPr>
              <w:shd w:val="clear" w:color="auto" w:fill="FFFFFF"/>
              <w:spacing w:beforeLines="60" w:before="144"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t xml:space="preserve">Rozporządzenie Ministra Rozwoju i Technologii w sprawie wysokości stawek procentowych według których jest wyliczana kwota składki na deweloperski fundusz </w:t>
            </w:r>
            <w:r w:rsidRPr="009152E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gwarancyjny z dnia 21 czerwca 2022 r. </w:t>
            </w:r>
            <w:hyperlink r:id="rId10" w:tooltip="https://sip.legalis.pl/document-view.seam?documentId=mfrxilrtg4ytonzqhe3ti" w:history="1">
              <w:r w:rsidRPr="009152E8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(Dz.U. z 2022 r. poz. 1341)</w:t>
              </w:r>
            </w:hyperlink>
          </w:p>
        </w:tc>
      </w:tr>
      <w:tr w:rsidR="00E90F6A" w:rsidRPr="009152E8" w14:paraId="74870842" w14:textId="77777777" w:rsidTr="005323C5">
        <w:tc>
          <w:tcPr>
            <w:tcW w:w="1932" w:type="dxa"/>
            <w:shd w:val="clear" w:color="auto" w:fill="F3F3F3"/>
          </w:tcPr>
          <w:p w14:paraId="64C9048E" w14:textId="77777777" w:rsidR="00E90F6A" w:rsidRPr="009152E8" w:rsidRDefault="00E90F6A" w:rsidP="00E90F6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lastRenderedPageBreak/>
              <w:t>Główne zasady funkcjonowania wybranego rodzaju zabezpieczenia środków nabywcy</w:t>
            </w:r>
          </w:p>
        </w:tc>
        <w:tc>
          <w:tcPr>
            <w:tcW w:w="7702" w:type="dxa"/>
            <w:gridSpan w:val="4"/>
          </w:tcPr>
          <w:p w14:paraId="183F40AD" w14:textId="0E66A620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Zasady funkcjonowania rachunków powierniczych, w tym otwartego mieszkaniowego rachunku powierniczego, są regulowane przez ustawę deweloperską </w:t>
            </w:r>
          </w:p>
          <w:p w14:paraId="12D36094" w14:textId="6ABFC28C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Nabywca dokonuje wpłat na MRP zgodnie z postępem realizacji przedsięwzięcia deweloperskiego, a wysokość wpłat uzależniona jest od faktycznego stopnia realizacji poszczególnych etapów przedsięwzięcia. Bank wypłaca deweloperowi środki pieniężne w związku z realizacją przez dewelopera umowy deweloperskiej, nie wcześniej niż po 30 dniach od dnia zawarcia umowy deweloperskiej i po stwierdzeniu zakończenia danego etapu realizacji inwestycji. Deweloper dysponuje środkami wypłacanymi z otwartego mieszkaniowego rachunku powierniczego w celu finansowania lub refinansowania przedsięwzięcia, dla którego jest prowadzony rachunek.</w:t>
            </w:r>
          </w:p>
          <w:p w14:paraId="759BC950" w14:textId="2C08FCC6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Koszty prowadzenia MRP, opłaty i prowizje obciążają Dewelopera.</w:t>
            </w:r>
          </w:p>
        </w:tc>
      </w:tr>
      <w:tr w:rsidR="00E90F6A" w:rsidRPr="009152E8" w14:paraId="1AC3C0FD" w14:textId="77777777" w:rsidTr="005323C5">
        <w:trPr>
          <w:trHeight w:val="293"/>
        </w:trPr>
        <w:tc>
          <w:tcPr>
            <w:tcW w:w="1932" w:type="dxa"/>
            <w:shd w:val="clear" w:color="auto" w:fill="F3F3F3"/>
          </w:tcPr>
          <w:p w14:paraId="7B54B21A" w14:textId="77777777" w:rsidR="00E90F6A" w:rsidRPr="009152E8" w:rsidRDefault="00E90F6A" w:rsidP="00E90F6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Nazwa instytucji zapewniającej bezpieczeństwo środków nabywcy</w:t>
            </w:r>
          </w:p>
        </w:tc>
        <w:tc>
          <w:tcPr>
            <w:tcW w:w="7702" w:type="dxa"/>
            <w:gridSpan w:val="4"/>
          </w:tcPr>
          <w:p w14:paraId="1E16E8B8" w14:textId="77777777" w:rsidR="00E90F6A" w:rsidRPr="009152E8" w:rsidRDefault="00E90F6A" w:rsidP="00E90F6A">
            <w:pPr>
              <w:pStyle w:val="Akapitzlist"/>
              <w:widowControl/>
              <w:autoSpaceDE/>
              <w:autoSpaceDN/>
              <w:adjustRightInd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417F76" w14:textId="397B304B" w:rsidR="00E90F6A" w:rsidRPr="009152E8" w:rsidRDefault="00153470" w:rsidP="00153470">
            <w:pPr>
              <w:pStyle w:val="Akapitzlist"/>
              <w:widowControl/>
              <w:autoSpaceDE/>
              <w:autoSpaceDN/>
              <w:adjustRightInd/>
              <w:spacing w:line="240" w:lineRule="auto"/>
              <w:ind w:hanging="633"/>
              <w:jc w:val="both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Alior Bank S.A.</w:t>
            </w:r>
          </w:p>
        </w:tc>
      </w:tr>
      <w:tr w:rsidR="00E90F6A" w:rsidRPr="009152E8" w14:paraId="5343619C" w14:textId="77777777" w:rsidTr="005323C5">
        <w:trPr>
          <w:trHeight w:val="488"/>
        </w:trPr>
        <w:tc>
          <w:tcPr>
            <w:tcW w:w="1932" w:type="dxa"/>
            <w:shd w:val="clear" w:color="auto" w:fill="F3F3F3"/>
          </w:tcPr>
          <w:p w14:paraId="62CF6BC5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Harmonogram przedsięwzięcia deweloperskiego lub zadania inwestycyjnego</w:t>
            </w:r>
          </w:p>
        </w:tc>
        <w:tc>
          <w:tcPr>
            <w:tcW w:w="7702" w:type="dxa"/>
            <w:gridSpan w:val="4"/>
          </w:tcPr>
          <w:tbl>
            <w:tblPr>
              <w:tblW w:w="75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4395"/>
              <w:gridCol w:w="992"/>
              <w:gridCol w:w="1417"/>
            </w:tblGrid>
            <w:tr w:rsidR="00E90F6A" w:rsidRPr="009152E8" w14:paraId="0F66B9FD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2DB54B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Nazwa etapu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90C296" w14:textId="77777777" w:rsidR="00E90F6A" w:rsidRPr="009152E8" w:rsidRDefault="00E90F6A" w:rsidP="00E90F6A">
                  <w:pPr>
                    <w:spacing w:after="0" w:line="240" w:lineRule="auto"/>
                    <w:ind w:left="86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Zakres robót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859AC7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% udział etapu w kosztach realizacji przedsięwzięcia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3CD706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Planowany termin</w:t>
                  </w:r>
                </w:p>
                <w:p w14:paraId="728FBD86" w14:textId="312DA5C2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zakończenia etapu</w:t>
                  </w:r>
                </w:p>
              </w:tc>
            </w:tr>
            <w:tr w:rsidR="00E90F6A" w:rsidRPr="009152E8" w14:paraId="229B787D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2F9DF92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702DADF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Pozyskanie gruntu wraz z dokumentacją i decyzją o pozwoleniu na budowę: 70 % </w:t>
                  </w:r>
                </w:p>
                <w:p w14:paraId="4393A083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Wykonanie ogrodzenia placu budowy i wytyczenie punktów stałych: 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81930A" w14:textId="77777777" w:rsidR="00E90F6A" w:rsidRPr="009152E8" w:rsidRDefault="00E90F6A" w:rsidP="00E90F6A">
                  <w:pPr>
                    <w:spacing w:after="0" w:line="240" w:lineRule="auto"/>
                    <w:ind w:left="86" w:right="57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25 %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F2AB1E" w14:textId="69525B99" w:rsidR="00E90F6A" w:rsidRPr="009152E8" w:rsidRDefault="00B57C09" w:rsidP="00E90F6A">
                  <w:pPr>
                    <w:spacing w:after="0" w:line="240" w:lineRule="auto"/>
                    <w:ind w:left="86" w:right="57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31</w:t>
                  </w:r>
                  <w:r w:rsidR="00E90F6A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.0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E90F6A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.2025</w:t>
                  </w:r>
                </w:p>
              </w:tc>
            </w:tr>
            <w:tr w:rsidR="00E90F6A" w:rsidRPr="009152E8" w14:paraId="3CC11424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6A1E0A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II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0F3C2D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Pozyskanie gruntu wraz z dokumentacją i decyzją o pozwoleniu na budowę: 30 %</w:t>
                  </w:r>
                </w:p>
                <w:p w14:paraId="26845C52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Prace przygotowawcze (organizacja zaplecza budowy, przyłącza na potrzeby placu budowy): 5 %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D684B0" w14:textId="77777777" w:rsidR="00E90F6A" w:rsidRPr="009152E8" w:rsidRDefault="00E90F6A" w:rsidP="00E90F6A">
                  <w:pPr>
                    <w:spacing w:after="0" w:line="240" w:lineRule="auto"/>
                    <w:ind w:left="86" w:right="57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11 %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AD380B" w14:textId="7B44E7B1" w:rsidR="00E90F6A" w:rsidRPr="009152E8" w:rsidRDefault="00E90F6A" w:rsidP="00E90F6A">
                  <w:pPr>
                    <w:spacing w:after="0" w:line="240" w:lineRule="auto"/>
                    <w:ind w:left="86" w:right="57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  <w:r w:rsidR="00EA422B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0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.0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.2025</w:t>
                  </w:r>
                </w:p>
                <w:p w14:paraId="7E4BCB3E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90F6A" w:rsidRPr="009152E8" w14:paraId="3FB6562D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62E846A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III 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2BAD64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Prace przygotowawcze (organizacja zaplecza budowy, przyłącza na potrzeby placu budowy): 95 %   </w:t>
                  </w:r>
                </w:p>
                <w:p w14:paraId="519AC075" w14:textId="7B91F332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38D61C33" w14:textId="22422591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Roboty ziemne</w:t>
                  </w:r>
                  <w:r w:rsidR="006C12E5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- wykop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90 %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0904A640" w14:textId="0EC77210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zero – konstrukcja: 70 % 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</w:p>
                <w:p w14:paraId="126A90F0" w14:textId="77777777" w:rsidR="00E90F6A" w:rsidRPr="009152E8" w:rsidRDefault="00E90F6A" w:rsidP="00E90F6A">
                  <w:pPr>
                    <w:spacing w:after="0" w:line="240" w:lineRule="auto"/>
                    <w:ind w:right="57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sanitarne: 5 %</w:t>
                  </w:r>
                </w:p>
                <w:p w14:paraId="1D46F6B2" w14:textId="34961F41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Sieci i przyłącza: 10 %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72C449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11 %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BE0F225" w14:textId="7168669E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.0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.2025</w:t>
                  </w:r>
                </w:p>
              </w:tc>
            </w:tr>
            <w:tr w:rsidR="00E90F6A" w:rsidRPr="009152E8" w14:paraId="302B7423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14C2EE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IV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870259" w14:textId="351E8001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Roboty ziemne</w:t>
                  </w:r>
                  <w:r w:rsidR="006C12E5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- wykop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="006C12E5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6A71DAA9" w14:textId="7D13E93A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zero – konstrukcja: 30 %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2CDE666E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Stan surowy – konstrukcja: 50 %</w:t>
                  </w:r>
                </w:p>
                <w:p w14:paraId="6B0C460D" w14:textId="7B4F8579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wykończeniowy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 (tynki, wylewki, wyk. klatek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sch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., wyk. garażu, roboty malarskie): 10 %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50E8547C" w14:textId="7FE743C3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sanitarne: 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10 %</w:t>
                  </w:r>
                </w:p>
                <w:p w14:paraId="7BFE0B4F" w14:textId="0A9B7B8B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Sieci i przyłącza: 30 %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40 %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04D5FA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10 %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91B076" w14:textId="376F7805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0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11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.2025</w:t>
                  </w:r>
                </w:p>
              </w:tc>
            </w:tr>
            <w:tr w:rsidR="00E90F6A" w:rsidRPr="009152E8" w14:paraId="0DA421E8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133151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V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57B8A9" w14:textId="2EA512A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surowy – konstrukcja: 30 %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80 %</w:t>
                  </w:r>
                </w:p>
                <w:p w14:paraId="70DD7D35" w14:textId="22B92B83" w:rsidR="006C12E5" w:rsidRPr="009152E8" w:rsidRDefault="006C12E5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Roboty ziemne zasyp 100 %</w:t>
                  </w:r>
                </w:p>
                <w:p w14:paraId="6D53E2C4" w14:textId="09DF3879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Roboty murarskie - ściany działowe: 60 %.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462F5BF5" w14:textId="53863D8B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Dach: 80 %</w:t>
                  </w:r>
                  <w:r w:rsidR="009F4AC2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21E7AF6E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Stolarka PVC: 50 %</w:t>
                  </w:r>
                </w:p>
                <w:p w14:paraId="5041D83D" w14:textId="39096C8A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wykończeniowy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 (tynki, wylewki, wyk. klatek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sch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., wyk. garażu, roboty malarskie): 10 % 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20%</w:t>
                  </w:r>
                </w:p>
                <w:p w14:paraId="09118EBB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Windy: 20 %</w:t>
                  </w:r>
                </w:p>
                <w:p w14:paraId="019D4500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Elewacja i balkony: 10 %</w:t>
                  </w:r>
                </w:p>
                <w:p w14:paraId="096CB2CC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elektryczne i słaboprądowe: 30 %</w:t>
                  </w:r>
                </w:p>
                <w:p w14:paraId="2A13EC84" w14:textId="0DC9644B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sanitarne: 15 %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25 %</w:t>
                  </w:r>
                </w:p>
                <w:p w14:paraId="59654FF7" w14:textId="5FF3D130" w:rsidR="00E90F6A" w:rsidRPr="009152E8" w:rsidRDefault="00E90F6A" w:rsidP="00E90F6A">
                  <w:pPr>
                    <w:spacing w:after="0" w:line="240" w:lineRule="auto"/>
                    <w:ind w:right="57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Sieci i przyłącza: 30 %</w:t>
                  </w:r>
                  <w:r w:rsidRPr="009152E8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70 %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EB9AE48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11 %</w:t>
                  </w:r>
                </w:p>
                <w:p w14:paraId="545FBF65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3E6B37" w14:textId="37B0420A" w:rsidR="00E90F6A" w:rsidRPr="009152E8" w:rsidRDefault="00B57C09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  <w:r w:rsidR="00E90F6A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02</w:t>
                  </w:r>
                  <w:r w:rsidR="00E90F6A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E90F6A" w:rsidRPr="009152E8" w14:paraId="7DFED15B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B57DBF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VI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A5F8A2" w14:textId="45B9DF50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surowy – konstrukcja: 20 %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54C325C7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Roboty murarskie - ściany działowe: 40 %. </w:t>
                  </w:r>
                </w:p>
                <w:p w14:paraId="3F401639" w14:textId="6F48BE8D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18A16B77" w14:textId="0872C0BC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Dach: 10 %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90 %</w:t>
                  </w:r>
                </w:p>
                <w:p w14:paraId="03A47725" w14:textId="3558AE29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Stolarka PVC: 40 %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90%</w:t>
                  </w:r>
                </w:p>
                <w:p w14:paraId="577B81C9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wykończeniowy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 (tynki, wylewki, wyk. klatek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sch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., wyk. garażu, roboty malarskie): 34 % 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54 %</w:t>
                  </w:r>
                </w:p>
                <w:p w14:paraId="382ED077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Drzwi do mieszkań, ślusarka aluminiowa, drzwi stalowe, brama garażowa: 15 %</w:t>
                  </w:r>
                </w:p>
                <w:p w14:paraId="770033E7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Balustrady zew. i wew.: 72 %</w:t>
                  </w:r>
                </w:p>
                <w:p w14:paraId="5DD41A7B" w14:textId="261E27C6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Elewacja i balkony: 50 %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60 %</w:t>
                  </w:r>
                </w:p>
                <w:p w14:paraId="2D08BA60" w14:textId="3995AF71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Instalacje elektryczne i słaboprądowe: 25 %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55 %</w:t>
                  </w:r>
                </w:p>
                <w:p w14:paraId="42E2B89C" w14:textId="6DE89857" w:rsidR="00E90F6A" w:rsidRPr="009152E8" w:rsidRDefault="00E90F6A" w:rsidP="00E90F6A">
                  <w:pPr>
                    <w:spacing w:after="0" w:line="240" w:lineRule="auto"/>
                    <w:ind w:right="57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sanitarne: 15 %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35 %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D11A4F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11 %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EAEFD1" w14:textId="26BAB0E0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31.0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.2026</w:t>
                  </w:r>
                </w:p>
              </w:tc>
            </w:tr>
            <w:tr w:rsidR="00E90F6A" w:rsidRPr="009152E8" w14:paraId="121DC780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B2853F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VII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AE9F05" w14:textId="2A83EA56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wykończeniowy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 (tynki, wylewki, wyk. klatek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sch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., wyk. garażu, roboty malarskie): 26 % 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80%</w:t>
                  </w:r>
                </w:p>
                <w:p w14:paraId="60177A8D" w14:textId="0103755A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Windy: 20 %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40%</w:t>
                  </w:r>
                </w:p>
                <w:p w14:paraId="7FC55719" w14:textId="0D18B4AC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Drzwi do mieszkań, ślusarka aluminiowa, drzwi stalowe, brama garażowa: 59 %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74 %</w:t>
                  </w:r>
                </w:p>
                <w:p w14:paraId="50AB5F27" w14:textId="07D7EFCC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Balustrady zew. i wew.: 15 %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87 %</w:t>
                  </w:r>
                </w:p>
                <w:p w14:paraId="596E4BC9" w14:textId="02171943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Elewacja i balkony: 20 %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80 %</w:t>
                  </w:r>
                </w:p>
                <w:p w14:paraId="775E3815" w14:textId="21C1BFE8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Instalacje elektryczne i słaboprądowe: 35 %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90 %</w:t>
                  </w:r>
                </w:p>
                <w:p w14:paraId="749A6434" w14:textId="4B30E300" w:rsidR="00E90F6A" w:rsidRPr="009152E8" w:rsidRDefault="00E90F6A" w:rsidP="00E90F6A">
                  <w:pPr>
                    <w:spacing w:after="0" w:line="240" w:lineRule="auto"/>
                    <w:ind w:right="57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sanitarne: 30 %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65 %</w:t>
                  </w:r>
                </w:p>
                <w:p w14:paraId="6203125A" w14:textId="5526CF5B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Sieci i przyłącza: 25 %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95 %</w:t>
                  </w:r>
                </w:p>
                <w:p w14:paraId="2AE40374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Drogi, miejsca postojowe, chodniki: 70 %</w:t>
                  </w:r>
                </w:p>
                <w:p w14:paraId="08653D2E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Zieleń i mała architektura: 60 %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EE8BE7E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10 %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E0A4C4" w14:textId="4E51C485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.0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7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.2026</w:t>
                  </w:r>
                </w:p>
              </w:tc>
            </w:tr>
            <w:tr w:rsidR="00E90F6A" w:rsidRPr="009152E8" w14:paraId="07504727" w14:textId="77777777" w:rsidTr="007E22BB"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7B3A3E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VIII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760D9A" w14:textId="58C93676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Dach: 10 %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08F4A5D0" w14:textId="0DDAD64E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Stolarka PVC: 10 %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100%</w:t>
                  </w:r>
                </w:p>
                <w:p w14:paraId="2C89E060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Stan wykończeniowy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 (tynki, wylewki, wyk. klatek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sch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., wyk. garażu, roboty malarskie): 20 % 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100%</w:t>
                  </w:r>
                </w:p>
                <w:p w14:paraId="4071851D" w14:textId="5C1D42CE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Windy: 60 %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100%</w:t>
                  </w:r>
                </w:p>
                <w:p w14:paraId="5E0C72E3" w14:textId="76B502CC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Drzwi do mieszkań, ślusarka aluminiowa, drzwi stalowe, brama garażowa: 26 %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1EA06800" w14:textId="193947F8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Balustrady zew. i wew.: 13 %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0AC2934E" w14:textId="458AB24F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Elewacja i balkony: 20 %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6599DFDD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Instalacje elektryczne i słaboprądowe: 10 % 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5B2E1AE4" w14:textId="74E769E5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Instalacje sanitarne: 35 %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12CA9577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 xml:space="preserve">Wyposażenie wew. (skrzynki na listy, zabudowa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mebl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., wycieraczki) i sprzątanie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pobudowlane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): 100 %</w:t>
                  </w:r>
                </w:p>
                <w:p w14:paraId="00D4BAA5" w14:textId="5A195164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Sieci i przyłącza: 5 %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7C08F932" w14:textId="17B7A22A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 xml:space="preserve">Drogi, miejsca postojowe, chodniki: 30 % </w:t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7F4CE846" w14:textId="76451BE6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Zieleń i mała architektura: 40 %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ab/>
                  </w:r>
                  <w:proofErr w:type="spellStart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narast</w:t>
                  </w:r>
                  <w:proofErr w:type="spellEnd"/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 100 %</w:t>
                  </w:r>
                </w:p>
                <w:p w14:paraId="4477CD93" w14:textId="77777777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Uzyskanie ostatecznej decyzji pozwolenia na użytkowanie.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165BE4" w14:textId="77777777" w:rsidR="00E90F6A" w:rsidRPr="009152E8" w:rsidRDefault="00E90F6A" w:rsidP="00E90F6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11 %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D00B5A" w14:textId="2195E6E9" w:rsidR="00E90F6A" w:rsidRPr="009152E8" w:rsidRDefault="00E90F6A" w:rsidP="00E90F6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30.0</w:t>
                  </w:r>
                  <w:r w:rsidR="00B57C09"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  <w:r w:rsidRPr="009152E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l-PL"/>
                    </w:rPr>
                    <w:t>.2026</w:t>
                  </w:r>
                </w:p>
              </w:tc>
            </w:tr>
          </w:tbl>
          <w:p w14:paraId="1EFC64DD" w14:textId="77777777" w:rsidR="00E90F6A" w:rsidRPr="009152E8" w:rsidRDefault="00E90F6A" w:rsidP="00E90F6A">
            <w:pPr>
              <w:pStyle w:val="Akapitzlist"/>
              <w:widowControl/>
              <w:autoSpaceDE/>
              <w:autoSpaceDN/>
              <w:adjustRightInd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A6657CE" w14:textId="77777777" w:rsidR="00E90F6A" w:rsidRPr="009152E8" w:rsidRDefault="00E90F6A" w:rsidP="00E90F6A">
            <w:pPr>
              <w:pStyle w:val="Akapitzlist"/>
              <w:widowControl/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</w:rPr>
            </w:pPr>
          </w:p>
        </w:tc>
      </w:tr>
      <w:tr w:rsidR="00E90F6A" w:rsidRPr="009152E8" w14:paraId="08E64BB3" w14:textId="77777777" w:rsidTr="005323C5">
        <w:trPr>
          <w:trHeight w:val="292"/>
        </w:trPr>
        <w:tc>
          <w:tcPr>
            <w:tcW w:w="1932" w:type="dxa"/>
            <w:shd w:val="clear" w:color="auto" w:fill="F3F3F3"/>
          </w:tcPr>
          <w:p w14:paraId="5B048D77" w14:textId="77777777" w:rsidR="00E90F6A" w:rsidRPr="009152E8" w:rsidRDefault="00E90F6A" w:rsidP="00E90F6A">
            <w:pPr>
              <w:spacing w:beforeLines="60" w:before="144" w:afterLines="60" w:after="144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lastRenderedPageBreak/>
              <w:t>Dopuszczenie waloryzacji ceny oraz określenie zasad waloryzacji</w:t>
            </w:r>
          </w:p>
        </w:tc>
        <w:tc>
          <w:tcPr>
            <w:tcW w:w="7702" w:type="dxa"/>
            <w:gridSpan w:val="4"/>
          </w:tcPr>
          <w:p w14:paraId="7A914112" w14:textId="77777777" w:rsidR="00E90F6A" w:rsidRPr="009152E8" w:rsidRDefault="00E90F6A" w:rsidP="00E90F6A">
            <w:pPr>
              <w:pStyle w:val="Akapitzlist"/>
              <w:numPr>
                <w:ilvl w:val="0"/>
                <w:numId w:val="24"/>
              </w:numPr>
              <w:spacing w:beforeLines="60" w:before="144" w:line="240" w:lineRule="auto"/>
              <w:ind w:left="0" w:firstLine="0"/>
              <w:rPr>
                <w:rFonts w:asciiTheme="minorHAnsi" w:hAnsiTheme="minorHAnsi" w:cstheme="minorHAnsi"/>
                <w:bCs/>
                <w:sz w:val="20"/>
              </w:rPr>
            </w:pPr>
            <w:r w:rsidRPr="009152E8">
              <w:rPr>
                <w:rFonts w:asciiTheme="minorHAnsi" w:hAnsiTheme="minorHAnsi" w:cstheme="minorHAnsi"/>
                <w:bCs/>
                <w:sz w:val="20"/>
              </w:rPr>
              <w:t>Zmiana stawki podatku VAT</w:t>
            </w:r>
          </w:p>
          <w:p w14:paraId="6DBF7114" w14:textId="2185B176" w:rsidR="00E90F6A" w:rsidRPr="009152E8" w:rsidRDefault="00E90F6A" w:rsidP="00E90F6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 xml:space="preserve">W przypadku zmiany stawki podatku VAT, podatek będzie doliczony do ceny lokalu, zgodnie z obowiązującymi przepisami w tym względzie. Jeżeli na skutek zmian w obowiązujących przepisach prawa stawka podatku VAT w odniesieniu do ceny lokalu w całości lub pozostałej do zapłaty jej części ulegnie zwiększeniu, to nabywca lokalu według swojego wyboru, albo zobowiązany będzie do zapłaty odpowiednio wyższej ceny lokalu, powiększonej o wartość podwyższonego podatku VAT, albo skorzysta z uprawnienia do odstąpienia w całości od umowy. Jeżeli zaś stawka podatku VAT ulegnie zmniejszeniu, pociągnie to za sobą także zmniejszenie ceny lokal. </w:t>
            </w:r>
          </w:p>
          <w:p w14:paraId="37DCD2D3" w14:textId="0C40758D" w:rsidR="00E90F6A" w:rsidRPr="009152E8" w:rsidRDefault="00E90F6A" w:rsidP="00E90F6A">
            <w:pPr>
              <w:pStyle w:val="Akapitzlist"/>
              <w:numPr>
                <w:ilvl w:val="0"/>
                <w:numId w:val="24"/>
              </w:numPr>
              <w:spacing w:line="24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>Zmiana ceny wynikająca ze zmiany metrażu mieszkania</w:t>
            </w:r>
          </w:p>
          <w:p w14:paraId="646210AA" w14:textId="78C67DE5" w:rsidR="00E90F6A" w:rsidRPr="009152E8" w:rsidRDefault="00E90F6A" w:rsidP="00E90F6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9152E8">
              <w:rPr>
                <w:rFonts w:asciiTheme="minorHAnsi" w:hAnsiTheme="minorHAnsi" w:cstheme="minorHAnsi"/>
                <w:sz w:val="20"/>
              </w:rPr>
              <w:t xml:space="preserve">Zmiana ceny jest dopuszczalna w przypadku różnicy między powierzchnią lokalu mieszkalnego określoną w umowie deweloperskiej, a powierzchnią lokalu pomierzoną w oparciu o zasady zawarte w normie PN-ISO 9836, proporcjonalnie do tej zmiany, przy czym w przypadku różnicy większej niż +/-2% nabywcy będzie przysługiwało prawo do odstąpienia od umowy deweloperskiej na zasadach określonych w umowie deweloperskiej. </w:t>
            </w:r>
          </w:p>
          <w:p w14:paraId="58B3E85E" w14:textId="269C524B" w:rsidR="00E90F6A" w:rsidRPr="009152E8" w:rsidRDefault="00E90F6A" w:rsidP="00E90F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0F6A" w:rsidRPr="009152E8" w14:paraId="435760DF" w14:textId="753CAF76" w:rsidTr="005323C5"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5BB2834E" w14:textId="6C4A4CED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 xml:space="preserve">WARUNKI ODSTĄPIENIA OD UMOWY DEWELOPERSKIEJ LUB UMOWY, O KTÓREJ MOWA W ART. 2 UST. 1 PKT 2, 3 LUB 5 USTAWY Z DNIA </w:t>
            </w:r>
            <w:r w:rsidR="00F863D2">
              <w:rPr>
                <w:rFonts w:eastAsia="Times New Roman" w:cstheme="minorHAnsi"/>
                <w:b/>
                <w:sz w:val="20"/>
                <w:szCs w:val="20"/>
              </w:rPr>
              <w:t xml:space="preserve">20.05.2021 r. </w:t>
            </w:r>
            <w:r w:rsidRPr="009152E8">
              <w:rPr>
                <w:rFonts w:eastAsia="Times New Roman" w:cstheme="minorHAnsi"/>
                <w:b/>
                <w:sz w:val="20"/>
                <w:szCs w:val="20"/>
              </w:rPr>
              <w:t>O OCHRONIE PRAW NABYWCY LOKALU MIESZKALNEGO LUB DOMU JEDNORODZINNEGO ORAZ O DEWELOPERSKIM FUNDUSZU GWARANCYJNYM (Dz. U. …)</w:t>
            </w:r>
          </w:p>
          <w:p w14:paraId="34243BB4" w14:textId="77777777" w:rsidR="00E90F6A" w:rsidRPr="009152E8" w:rsidRDefault="00E90F6A" w:rsidP="00E90F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F6A" w:rsidRPr="009152E8" w14:paraId="3C8E7893" w14:textId="77777777" w:rsidTr="005323C5">
        <w:trPr>
          <w:trHeight w:val="1512"/>
        </w:trPr>
        <w:tc>
          <w:tcPr>
            <w:tcW w:w="1932" w:type="dxa"/>
            <w:tcBorders>
              <w:bottom w:val="single" w:sz="4" w:space="0" w:color="auto"/>
            </w:tcBorders>
            <w:shd w:val="clear" w:color="auto" w:fill="F3F3F3"/>
          </w:tcPr>
          <w:p w14:paraId="0A2C114C" w14:textId="01C2D7B1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Warunki, na jakich można odstąpić od umowy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</w:rPr>
              <w:t>dewelo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</w:rPr>
              <w:t>- perskiej lub jednej z umów, o których mowa w art. 2 ust. 1 pkt 2, 3 lub 5 ustawy z dnia 20 maja 2021 r. o ochronie praw nabywcy lokalu mieszkalnego lub domu jednorodzinnego oraz Deweloperskim Funduszu Gwarancyjnym</w:t>
            </w:r>
          </w:p>
        </w:tc>
        <w:tc>
          <w:tcPr>
            <w:tcW w:w="7702" w:type="dxa"/>
            <w:gridSpan w:val="4"/>
          </w:tcPr>
          <w:p w14:paraId="7A86DA76" w14:textId="77777777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Zgodnie z art. 43 Ustawy - Nabywca ma prawo odstąpić od Umowy: </w:t>
            </w:r>
          </w:p>
          <w:p w14:paraId="2277E964" w14:textId="05288ADE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jeżeli Umowa nie zawiera odpowiednio elementów, o których mowa 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br/>
              <w:t>w art. 35 Ustawy,</w:t>
            </w:r>
          </w:p>
          <w:p w14:paraId="6D415301" w14:textId="7F6415B3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>jeżeli informacje zawarte w Umowie nie są zgodne z informacjami zawartymi w prospekcie informacyjnym lub jego załącznikach, z wyjątkiem zmian, o których mowa w art. 35 ust. 2 Ustawy,</w:t>
            </w:r>
          </w:p>
          <w:p w14:paraId="7E1A379C" w14:textId="3DA176ED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jeżeli Deweloper nie doręczył zgodnie z art. 21 Ustawy lub art. 22 Ustawy prospektu informacyjnego wraz z załącznikami lub informacji 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 zmianie danych lub informacji zawartych w prospekcie informacyjnym lub jego załącznikach, </w:t>
            </w:r>
          </w:p>
          <w:p w14:paraId="4ED44B64" w14:textId="765C4886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jeżeli dane lub informacje zawarte w prospekcie informacyjnym lub jego załącznikach, na podstawie których zawarto Umowę, są niezgodne ze stanem faktycznym lub prawnym w dniu zawarcia Umowy, </w:t>
            </w:r>
          </w:p>
          <w:p w14:paraId="415D0E93" w14:textId="4D572222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>jeżeli prospekt informacyjny, na podstawie którego zawarto Umowę, nie zawiera danych lub informacji określonych we wzorze prospektu informacyjnego</w:t>
            </w:r>
          </w:p>
          <w:p w14:paraId="2A04EFAD" w14:textId="22C54A18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6)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 przypadku </w:t>
            </w:r>
            <w:proofErr w:type="spellStart"/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nieprzeniesienia</w:t>
            </w:r>
            <w:proofErr w:type="spellEnd"/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 na nabywcę praw wynikających z Umowy w terminie wynikającym z Umowy, </w:t>
            </w:r>
          </w:p>
          <w:p w14:paraId="1A6B8443" w14:textId="05B84919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7)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 przypadku, gdy Deweloper nie zawrze umowy mieszkaniowego rachunku powierniczego z innym bankiem w trybie i terminie, o których mowa w art. 10 ust. 1 Ustawy (w przypadku wypowiedzenia dotychczasowej umowy przez Bank prowadzący rachunek), </w:t>
            </w:r>
          </w:p>
          <w:p w14:paraId="29BDAB99" w14:textId="63983AE1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8)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>w przypadku, gdy Deweloper nie posiada zgody wierzyciela hipotecznego lub zobowiązania do jej udzielenia, o których mowa w art. 25 ust. 1 pkt 1 lub 2 Ustawy,</w:t>
            </w:r>
          </w:p>
          <w:p w14:paraId="6C6CDB54" w14:textId="6217AB5E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 przypadku niewykonania przez Dewelopera obowiązku, o którym mowa w art. 12 ust. 2 Ustawy (przekazania Nabywcy informacji o nowej umowie, w terminie określonym w tym przepisie (10 dni), </w:t>
            </w:r>
          </w:p>
          <w:p w14:paraId="2727220C" w14:textId="411628FD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10)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 przypadku nieusunięcia przez Dewelopera wady istotnej Lokalu mieszkalnego na zasadach określonych w art. 41 ust. 11 Ustawy, </w:t>
            </w:r>
          </w:p>
          <w:p w14:paraId="2351FC01" w14:textId="0A2F44B6" w:rsidR="006B6625" w:rsidRPr="009152E8" w:rsidRDefault="006B6625" w:rsidP="006B662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11)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 przypadku stwierdzenia przez rzeczoznawcę istnienia wady istotnej, o którym mowa w art. 41 ust. 15 Ustawy, </w:t>
            </w:r>
          </w:p>
          <w:p w14:paraId="07DBE742" w14:textId="1B3D7D72" w:rsidR="00E90F6A" w:rsidRPr="009152E8" w:rsidRDefault="006B6625" w:rsidP="006B66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12)</w:t>
            </w:r>
            <w:r w:rsidRPr="009152E8">
              <w:rPr>
                <w:rFonts w:cstheme="minorHAnsi"/>
                <w:sz w:val="20"/>
                <w:szCs w:val="20"/>
              </w:rPr>
              <w:tab/>
              <w:t xml:space="preserve">jeżeli syndyk zażądał wykonania umowy na podstawie art. 98 ustawy z dnia 28 lutego 2003 roku – Prawo upadłościowe. </w:t>
            </w:r>
          </w:p>
          <w:p w14:paraId="6ADA7EAB" w14:textId="3B32023B" w:rsidR="006F6156" w:rsidRPr="009152E8" w:rsidRDefault="006F6156" w:rsidP="006F615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W przypadkach, o których mowa w pkt 1–5 powyżej, Nabywca ma prawo odstąpienia od Umowy, w terminie 30 dni od dnia jej zawarcia. </w:t>
            </w:r>
          </w:p>
          <w:p w14:paraId="5B3A613A" w14:textId="32410C1E" w:rsidR="006F6156" w:rsidRPr="009152E8" w:rsidRDefault="006F6156" w:rsidP="006F615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W przypadku, o którym mowa w pkt 6 powyżej, przed skorzystaniem z prawa do odstąpienia od umowy Nabywca wyznacza Deweloperowi 120-dniowy termin na przeniesienie praw wynikających z Umowy, a w razie bezskutecznego upływu wyznaczonego terminu jest uprawniony do odstąpienia od tej umowy. Nabywca zachowuje roszczenie 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z tytułu kary umownej za okres opóźnienia. </w:t>
            </w:r>
          </w:p>
          <w:p w14:paraId="69B0D8B1" w14:textId="6AA58029" w:rsidR="006F6156" w:rsidRPr="009152E8" w:rsidRDefault="006F6156" w:rsidP="006F615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W przypadku, o którym mowa w pkt 7 powyżej, Nabywca ma prawo odstąpienia od Umowy, po dokonaniu przez Bank zwrotu środków zgodnie z art. 10 ust. 3 Ustawy</w:t>
            </w:r>
          </w:p>
          <w:p w14:paraId="4075EA59" w14:textId="1EE1AE29" w:rsidR="006F6156" w:rsidRPr="009152E8" w:rsidRDefault="006F6156" w:rsidP="006F615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W przypadku, o którym mowa w pkt 8 powyżej, Nabywca ma prawo odstąpienia od Umowy, w terminie 60 dni od dnia jej zawarcia. </w:t>
            </w:r>
          </w:p>
          <w:p w14:paraId="4415EE02" w14:textId="6BBF4347" w:rsidR="006F6156" w:rsidRPr="009152E8" w:rsidRDefault="006F6156" w:rsidP="006F61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W przypadku, o którym mowa w pkt 9 powyżej, Nabywca ma prawo odstąpienia od Umowy, po upływie 60 dni od dnia podania do publicznej wiadomości informacji, o których mowa w art. 12 ust. 1 Ustawy</w:t>
            </w:r>
          </w:p>
          <w:p w14:paraId="3B39ECE0" w14:textId="77777777" w:rsidR="006F6156" w:rsidRPr="009152E8" w:rsidRDefault="006F6156" w:rsidP="006F61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438B99" w14:textId="77777777" w:rsidR="00E90F6A" w:rsidRPr="009152E8" w:rsidRDefault="00E90F6A" w:rsidP="006B6625">
            <w:pPr>
              <w:spacing w:after="0" w:line="240" w:lineRule="auto"/>
              <w:ind w:left="8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>Deweloperowi przysługuje prawo odstąpienia</w:t>
            </w:r>
            <w:r w:rsidRPr="009152E8">
              <w:rPr>
                <w:rFonts w:cstheme="minorHAnsi"/>
                <w:bCs/>
                <w:sz w:val="20"/>
                <w:szCs w:val="20"/>
              </w:rPr>
              <w:t xml:space="preserve"> od umowy deweloperskiej w przypadku:</w:t>
            </w:r>
          </w:p>
          <w:p w14:paraId="2C4F1E09" w14:textId="77777777" w:rsidR="00E90F6A" w:rsidRPr="009152E8" w:rsidRDefault="00E90F6A" w:rsidP="006B662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85" w:firstLine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>niedokonania przez nabywcę zapłaty cen na warunkach i w terminach określonych w umowie deweloperskiej, mimo wezwania Nabywcy w formie pisemnej do uiszczenia zaległej kwoty w terminie 30 dni od dnia doręczenia wezwania, chyba, że niespełnienie przez Nabywcę świadczenia pieniężnego jest spowodowane działaniem siły wyższej,</w:t>
            </w:r>
          </w:p>
          <w:p w14:paraId="7240149C" w14:textId="77777777" w:rsidR="00E90F6A" w:rsidRPr="009152E8" w:rsidRDefault="00E90F6A" w:rsidP="006B662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85" w:hanging="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 xml:space="preserve"> niestawienia się nabywcy do odbioru lokalu w terminie i na warunkach określonych w umowie deweloperskiej, pomimo dwukrotnego doręczenia wezwania w formie pisemnej w odstępie co najmniej 60 dni, chyba że niestawienie się nabywcy jest spowodowane działaniem siły wyższej,</w:t>
            </w:r>
          </w:p>
          <w:p w14:paraId="1F63A09B" w14:textId="77777777" w:rsidR="00E90F6A" w:rsidRPr="009152E8" w:rsidRDefault="00E90F6A" w:rsidP="006B662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85" w:hanging="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>niestawienia się nabywcy do zawarcia umowy przenoszącej własność Lokalu w terminie i na warunkach określonych w umowie deweloperskiej, pomimo dwukrotnego doręczenia wezwania w formie pisemnej w odstępie co najmniej 60 dni, chyba że niestawienie się nabywcy jest spowodowane działaniem siły wyższej.</w:t>
            </w:r>
          </w:p>
          <w:p w14:paraId="4C151E91" w14:textId="77777777" w:rsidR="00E90F6A" w:rsidRPr="009152E8" w:rsidRDefault="00E90F6A" w:rsidP="006B6625">
            <w:pPr>
              <w:spacing w:after="0" w:line="240" w:lineRule="auto"/>
              <w:ind w:left="85" w:hanging="1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1428CB8" w14:textId="77777777" w:rsidR="00E90F6A" w:rsidRPr="009152E8" w:rsidRDefault="00E90F6A" w:rsidP="006B6625">
            <w:pPr>
              <w:spacing w:after="0" w:line="240" w:lineRule="auto"/>
              <w:ind w:left="85" w:hanging="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 xml:space="preserve">Prawo do odstąpienia od umowy deweloperskiej przysługuje Deweloperowi </w:t>
            </w:r>
            <w:r w:rsidRPr="009152E8">
              <w:rPr>
                <w:rFonts w:cstheme="minorHAnsi"/>
                <w:bCs/>
                <w:sz w:val="20"/>
                <w:szCs w:val="20"/>
              </w:rPr>
              <w:br/>
              <w:t>w następujących terminach:</w:t>
            </w:r>
          </w:p>
          <w:p w14:paraId="511D6C33" w14:textId="77777777" w:rsidR="00E90F6A" w:rsidRPr="009152E8" w:rsidRDefault="00E90F6A" w:rsidP="006B662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85" w:hanging="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>60 dni od dnia doręczenia wezwania – w przypadku określonym w pkt 1 powyżej,</w:t>
            </w:r>
          </w:p>
          <w:p w14:paraId="70CCB5F1" w14:textId="77777777" w:rsidR="00E90F6A" w:rsidRPr="009152E8" w:rsidRDefault="00E90F6A" w:rsidP="006B662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85" w:hanging="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 xml:space="preserve">60 dni, począwszy od dnia następującego po upływie drugiego </w:t>
            </w:r>
            <w:r w:rsidRPr="009152E8">
              <w:rPr>
                <w:rFonts w:cstheme="minorHAnsi"/>
                <w:bCs/>
                <w:sz w:val="20"/>
                <w:szCs w:val="20"/>
              </w:rPr>
              <w:br/>
              <w:t>z terminów wyznaczonego w wezwaniu skierowanym do nabywcy w formie pisemnej w odstępie co najmniej 60 dni – w przypadkach określonych w pkt 2 i 3 powyżej.</w:t>
            </w:r>
          </w:p>
          <w:p w14:paraId="786CE173" w14:textId="77777777" w:rsidR="00E90F6A" w:rsidRPr="009152E8" w:rsidRDefault="00E90F6A" w:rsidP="006B662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11DF35" w14:textId="77777777" w:rsidR="00E90F6A" w:rsidRPr="009152E8" w:rsidRDefault="00E90F6A" w:rsidP="006B662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Nabywcy przysługuje </w:t>
            </w:r>
            <w:r w:rsidRPr="009152E8">
              <w:rPr>
                <w:rFonts w:asciiTheme="minorHAnsi" w:hAnsiTheme="minorHAnsi" w:cstheme="minorHAnsi"/>
                <w:bCs w:val="0"/>
                <w:sz w:val="20"/>
                <w:szCs w:val="20"/>
              </w:rPr>
              <w:t>prawo odstąpienia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 od umowy w przypadku: </w:t>
            </w:r>
          </w:p>
          <w:p w14:paraId="3CACB36B" w14:textId="77777777" w:rsidR="00E90F6A" w:rsidRPr="009152E8" w:rsidRDefault="00E90F6A" w:rsidP="006B662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a) gdy po wypowiedzeniu umowy mieszkaniowego rachunku powierniczego Deweloper niezwłocznie nie zawrze z innym bankiem umowy mieszkaniowego rachunku powierniczego nie później niż w terminie 60 (sześćdziesiąt) dni od dnia wypowiedzenia tej umowy przez bank (przedmiotem zawieranej umowy jest prowadzenie takiego samego rodzaju mieszkaniowego rachunku powierniczego, jak w przypadku umowy, która została wypowiedziana)</w:t>
            </w:r>
          </w:p>
          <w:p w14:paraId="486BEE6E" w14:textId="77777777" w:rsidR="00E90F6A" w:rsidRPr="009152E8" w:rsidRDefault="00E90F6A" w:rsidP="006B662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08100193"/>
            <w:r w:rsidRPr="009152E8">
              <w:rPr>
                <w:rFonts w:asciiTheme="minorHAnsi" w:hAnsiTheme="minorHAnsi" w:cstheme="minorHAnsi"/>
                <w:bCs w:val="0"/>
                <w:sz w:val="20"/>
                <w:szCs w:val="20"/>
              </w:rPr>
              <w:t>b)</w:t>
            </w:r>
            <w:r w:rsidRPr="009152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niewykonania przez Dewelopera obowiązku, o którym mowa w art. 12 ust. 2 Ustawy 2</w:t>
            </w:r>
            <w:bookmarkEnd w:id="0"/>
          </w:p>
          <w:p w14:paraId="6FA6D4A4" w14:textId="77777777" w:rsidR="00E90F6A" w:rsidRPr="009152E8" w:rsidRDefault="00E90F6A" w:rsidP="006B662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879E2" w14:textId="77777777" w:rsidR="00E90F6A" w:rsidRPr="009152E8" w:rsidRDefault="00E90F6A" w:rsidP="006B662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>Nabywca może skorzystać z prawa odstąpienia</w:t>
            </w:r>
          </w:p>
          <w:p w14:paraId="07A8B8EF" w14:textId="77777777" w:rsidR="00E90F6A" w:rsidRPr="009152E8" w:rsidRDefault="00E90F6A" w:rsidP="006B662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2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9152E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152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Pr="009152E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t xml:space="preserve">przypadku, gdy po wypowiedzeniu umowy mieszkaniowego rachunku powierniczego Deweloper niezwłocznie nie zawrze z innym bankiem umowy mieszkaniowego rachunku powierniczego nie później niż w terminie 60 (sześćdziesiąt) dni od dnia wypowiedzenia tej </w:t>
            </w:r>
            <w:r w:rsidRPr="009152E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umowy przez bank, po dokonaniu przez bank zwrotu środków z rachunku powierniczego na rachunek Nabywcy, </w:t>
            </w:r>
          </w:p>
          <w:p w14:paraId="6ECB569A" w14:textId="77777777" w:rsidR="00E90F6A" w:rsidRPr="009152E8" w:rsidRDefault="00E90F6A" w:rsidP="006B662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152E8">
              <w:rPr>
                <w:rFonts w:cstheme="minorHAnsi"/>
                <w:sz w:val="20"/>
                <w:szCs w:val="20"/>
              </w:rPr>
              <w:t xml:space="preserve">- w przypadku, o którym mowa w </w:t>
            </w:r>
            <w:bookmarkStart w:id="1" w:name="_Hlk108100179"/>
            <w:r w:rsidRPr="009152E8">
              <w:rPr>
                <w:rFonts w:cstheme="minorHAnsi"/>
                <w:sz w:val="20"/>
                <w:szCs w:val="20"/>
              </w:rPr>
              <w:t>art. 12 ust. 2 Ustawy 2</w:t>
            </w:r>
            <w:bookmarkEnd w:id="1"/>
            <w:r w:rsidRPr="009152E8">
              <w:rPr>
                <w:rFonts w:cstheme="minorHAnsi"/>
                <w:sz w:val="20"/>
                <w:szCs w:val="20"/>
              </w:rPr>
              <w:t xml:space="preserve">, Nabywca ma prawo odstąpienia od umowy deweloperskiej po upływie 60 (sześćdziesiąt) dni od dnia podania do publicznej wiadomości informacji, o spełnieniu warunku  gwarancji w rozumieniu art. 2 pkt 57 lit. a lub b ustawy z dnia 10 czerwca 2016 roku o Bankowym Funduszu Gwarancyjnym, systemie gwarantowania depozytów oraz przymusowej restrukturyzacji (Dz. U. z 2020 r. poz. 842 oraz z 2021 r. poz. 680 i 1177) wobec banku prowadzącego mieszkaniowy rachunek powierniczy. </w:t>
            </w:r>
          </w:p>
          <w:p w14:paraId="09C6517A" w14:textId="77777777" w:rsidR="00E90F6A" w:rsidRPr="009152E8" w:rsidRDefault="00E90F6A" w:rsidP="006B662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7A0529F" w14:textId="18306ECB" w:rsidR="00E90F6A" w:rsidRPr="009152E8" w:rsidRDefault="00E90F6A" w:rsidP="006B6625">
            <w:pPr>
              <w:tabs>
                <w:tab w:val="right" w:leader="hyphen" w:pos="9060"/>
              </w:tabs>
              <w:spacing w:after="0" w:line="240" w:lineRule="auto"/>
              <w:jc w:val="both"/>
              <w:rPr>
                <w:rFonts w:eastAsia="Times New Roman" w:cstheme="minorHAnsi"/>
                <w:color w:val="5B9BD5" w:themeColor="accent1"/>
                <w:sz w:val="20"/>
                <w:szCs w:val="20"/>
              </w:rPr>
            </w:pPr>
            <w:r w:rsidRPr="009152E8">
              <w:rPr>
                <w:rFonts w:cstheme="minorHAnsi"/>
                <w:bCs/>
                <w:sz w:val="20"/>
                <w:szCs w:val="20"/>
              </w:rPr>
              <w:t>W przypadku odstąpienia od umowy deweloperskiej przez Nabywcę Deweloper jest zobowiązany zwrócić Nabywcy sumę wszystkich wpłaconych zaliczek, niezwłocznie po otrzymaniu oświadczenia o odstąpieniu od umowy. Oświadczenie Nabywcy o odstąpieniu od umowy deweloperskiej jest skuteczne, jeśli zawiera złożoną w formie pisemnej z podpisem notarialnie poświadczonym zgodę na wykreślenie z księgi wieczystej prowadzonej dla nieruchomości roszczenia o wybudowanie budynku, wyodrębnianie i przeniesienie odrębnej własności lokalu. Deweloper ma przy tym prawo odmowy potwierdzenia doręczenia złożonego przez Nabywcę oświadczenia o odstąpieniu od umowy deweloperskiej do czasu złożenia przez Nabywcę oświadczenia zgodnego z zapisami umowy deweloperskiej.</w:t>
            </w:r>
          </w:p>
        </w:tc>
      </w:tr>
      <w:tr w:rsidR="00E90F6A" w:rsidRPr="009152E8" w14:paraId="6776875D" w14:textId="77777777" w:rsidTr="005323C5">
        <w:trPr>
          <w:trHeight w:val="510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0B47EF0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52E8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 xml:space="preserve">INNE INFORMACJE </w:t>
            </w:r>
          </w:p>
        </w:tc>
      </w:tr>
      <w:tr w:rsidR="00E90F6A" w:rsidRPr="009152E8" w14:paraId="71F9984A" w14:textId="77777777" w:rsidTr="005323C5">
        <w:trPr>
          <w:trHeight w:val="1512"/>
        </w:trPr>
        <w:tc>
          <w:tcPr>
            <w:tcW w:w="9634" w:type="dxa"/>
            <w:gridSpan w:val="5"/>
            <w:tcBorders>
              <w:bottom w:val="nil"/>
            </w:tcBorders>
            <w:shd w:val="clear" w:color="auto" w:fill="F3F3F3"/>
          </w:tcPr>
          <w:p w14:paraId="792959E1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I. Informacja o:</w:t>
            </w:r>
          </w:p>
          <w:p w14:paraId="4269F4AA" w14:textId="77777777" w:rsidR="00E90F6A" w:rsidRPr="009152E8" w:rsidRDefault="00E90F6A" w:rsidP="00E90F6A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1)</w:t>
            </w:r>
            <w:r w:rsidRPr="009152E8">
              <w:rPr>
                <w:rFonts w:eastAsia="Times New Roman" w:cstheme="minorHAnsi"/>
                <w:sz w:val="20"/>
                <w:szCs w:val="20"/>
              </w:rPr>
              <w:tab/>
              <w:t xml:space="preserve">zgodzie 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zgodzie 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istnieje; </w:t>
            </w:r>
          </w:p>
          <w:p w14:paraId="1EF32C5C" w14:textId="75DBF532" w:rsidR="00E90F6A" w:rsidRPr="009152E8" w:rsidRDefault="00E90F6A" w:rsidP="00E90F6A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2)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9152E8">
              <w:rPr>
                <w:rFonts w:eastAsia="Times New Roman" w:cstheme="minorHAnsi"/>
                <w:sz w:val="20"/>
                <w:szCs w:val="20"/>
              </w:rPr>
              <w:t xml:space="preserve">w przypadku umów, o których mowa w art. 2 ust. 2 ustawy z dnia 20 maja 2021 r. o ochronie praw nabywcy lokalu mieszkalnego lub domu jednorodzinnego oraz Deweloperskim Funduszu Gwarancyjnym, o zgodzie 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</w:rPr>
              <w:t xml:space="preserve"> przeniesienie własności lokalu użytkowego na nabywcę po wpłacie pełnej ceny przez nabywcę lub zobowiązaniu do udzielenia takiej zgody, jeżeli takie obciążenie istnieje, albo zgodzie 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</w:tc>
      </w:tr>
      <w:tr w:rsidR="00E90F6A" w:rsidRPr="009152E8" w14:paraId="06E4B442" w14:textId="77777777" w:rsidTr="005323C5">
        <w:trPr>
          <w:trHeight w:val="1512"/>
        </w:trPr>
        <w:tc>
          <w:tcPr>
            <w:tcW w:w="9634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125A7E65" w14:textId="77777777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II. Informacja o możliwości zapoznania się w lokalu przedsiębiorstwa przez osobę zainteresowaną zawarciem umowy odpowiednio do zakresu umowy z:</w:t>
            </w:r>
          </w:p>
          <w:p w14:paraId="34AFACA7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aktualnym stanem księgi wieczystej;</w:t>
            </w:r>
          </w:p>
          <w:p w14:paraId="527F52D7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 lub wydrukiem ze strony internetowej tej ewidencji;</w:t>
            </w:r>
          </w:p>
          <w:p w14:paraId="7999E994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kopią decyzji o pozwoleniu na budowę;</w:t>
            </w:r>
          </w:p>
          <w:p w14:paraId="20A2CD0D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sprawozdaniem finansowym dewelopera za ostatnie dwa lata, a w przypadku realizacji inwestycji przez spółkę celową – sprawozdaniem spółki dominującej oraz spółki celowej;</w:t>
            </w:r>
          </w:p>
          <w:p w14:paraId="20A12FFC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projektem budowlanym;</w:t>
            </w:r>
          </w:p>
          <w:p w14:paraId="62BA9C3A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kopią decyzji o pozwoleniu na użytkowanie budynku;</w:t>
            </w:r>
          </w:p>
          <w:p w14:paraId="2C085A6D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zaświadczeniem o samodzielności lokalu;</w:t>
            </w:r>
          </w:p>
          <w:p w14:paraId="5781DD04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aktem ustanowienia odrębnej własności lokalu;</w:t>
            </w:r>
          </w:p>
          <w:p w14:paraId="2C08BEFE" w14:textId="77777777" w:rsidR="00E90F6A" w:rsidRPr="009152E8" w:rsidRDefault="00E90F6A" w:rsidP="00E90F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>dokumentem potwierdzającym:</w:t>
            </w:r>
          </w:p>
          <w:p w14:paraId="6693D643" w14:textId="77777777" w:rsidR="00E90F6A" w:rsidRPr="009152E8" w:rsidRDefault="00E90F6A" w:rsidP="00E90F6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zgodę 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</w:t>
            </w:r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nabywcę lub zobowiązaniem do jej udzielenia, jeżeli takie obciążenie istnieje, albo zgodą 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zobowiązaniem do jej udzielenia, jeżeli takie obciążenie istnieje, </w:t>
            </w:r>
          </w:p>
          <w:p w14:paraId="7B83B5DC" w14:textId="508FA6D3" w:rsidR="00E90F6A" w:rsidRPr="009152E8" w:rsidRDefault="00E90F6A" w:rsidP="00E90F6A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152E8">
              <w:rPr>
                <w:rFonts w:eastAsia="Times New Roman" w:cstheme="minorHAnsi"/>
                <w:sz w:val="20"/>
                <w:szCs w:val="20"/>
              </w:rPr>
              <w:t xml:space="preserve">w przypadku umów, o których mowa w art. 2 ust. 2 ustawy z dnia 20 maja 2021 r. o ochronie praw nabywcy lokalu mieszkalnego lub domu jednorodzinnego oraz Deweloperskim Funduszu Gwarancyjnym, zgodę 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</w:rPr>
      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      </w:r>
            <w:proofErr w:type="spellStart"/>
            <w:r w:rsidRPr="009152E8">
              <w:rPr>
                <w:rFonts w:eastAsia="Times New Roman" w:cstheme="minorHAnsi"/>
                <w:sz w:val="20"/>
                <w:szCs w:val="20"/>
              </w:rPr>
              <w:t>bezobciążeniowe</w:t>
            </w:r>
            <w:proofErr w:type="spellEnd"/>
            <w:r w:rsidRPr="009152E8">
              <w:rPr>
                <w:rFonts w:eastAsia="Times New Roman" w:cstheme="minorHAnsi"/>
                <w:sz w:val="20"/>
                <w:szCs w:val="20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E90F6A" w:rsidRPr="009152E8" w14:paraId="6469D856" w14:textId="77777777" w:rsidTr="005323C5">
        <w:trPr>
          <w:trHeight w:val="1512"/>
        </w:trPr>
        <w:tc>
          <w:tcPr>
            <w:tcW w:w="9634" w:type="dxa"/>
            <w:gridSpan w:val="5"/>
            <w:tcBorders>
              <w:top w:val="nil"/>
            </w:tcBorders>
            <w:shd w:val="clear" w:color="auto" w:fill="FFFFFF"/>
          </w:tcPr>
          <w:p w14:paraId="253E5C5B" w14:textId="0E567118" w:rsidR="00E90F6A" w:rsidRPr="009152E8" w:rsidRDefault="00E90F6A" w:rsidP="00E90F6A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B9D4DCF" w14:textId="77777777" w:rsidR="00A80C58" w:rsidRPr="009152E8" w:rsidRDefault="00A80C58" w:rsidP="00EA1C22">
      <w:pPr>
        <w:spacing w:beforeLines="60" w:before="144" w:afterLines="60" w:after="144" w:line="240" w:lineRule="auto"/>
        <w:jc w:val="right"/>
        <w:rPr>
          <w:rFonts w:eastAsia="Times New Roman" w:cstheme="minorHAnsi"/>
          <w:b/>
          <w:sz w:val="20"/>
          <w:szCs w:val="20"/>
        </w:rPr>
      </w:pPr>
    </w:p>
    <w:p w14:paraId="6CBECD9F" w14:textId="77777777" w:rsidR="00EA1C22" w:rsidRPr="009152E8" w:rsidRDefault="00EA1C22" w:rsidP="00EA1C22">
      <w:pPr>
        <w:spacing w:beforeLines="60" w:before="144" w:afterLines="60" w:after="144" w:line="240" w:lineRule="auto"/>
        <w:jc w:val="right"/>
        <w:rPr>
          <w:rFonts w:eastAsia="Times New Roman" w:cstheme="minorHAnsi"/>
          <w:b/>
          <w:sz w:val="20"/>
          <w:szCs w:val="20"/>
        </w:rPr>
      </w:pPr>
    </w:p>
    <w:p w14:paraId="6EE33B47" w14:textId="77777777" w:rsidR="00EA1C22" w:rsidRPr="009152E8" w:rsidRDefault="00EA1C22" w:rsidP="00EA1C22">
      <w:pPr>
        <w:spacing w:beforeLines="60" w:before="144" w:afterLines="60" w:after="144" w:line="240" w:lineRule="auto"/>
        <w:jc w:val="right"/>
        <w:rPr>
          <w:rFonts w:eastAsia="Times New Roman" w:cstheme="minorHAnsi"/>
          <w:b/>
          <w:sz w:val="20"/>
          <w:szCs w:val="20"/>
        </w:rPr>
      </w:pPr>
    </w:p>
    <w:p w14:paraId="1E661000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b/>
          <w:sz w:val="20"/>
          <w:szCs w:val="20"/>
        </w:rPr>
        <w:t>CZĘŚĆ INDYWIDUALNA</w:t>
      </w:r>
    </w:p>
    <w:p w14:paraId="4C80978E" w14:textId="77777777" w:rsidR="00EA1C22" w:rsidRPr="009152E8" w:rsidRDefault="00EA1C22" w:rsidP="00EA1C22">
      <w:pPr>
        <w:spacing w:beforeLines="60" w:before="144" w:afterLines="60" w:after="144" w:line="240" w:lineRule="auto"/>
        <w:rPr>
          <w:rFonts w:eastAsia="Times New Roman" w:cstheme="minorHAnsi"/>
          <w:b/>
          <w:sz w:val="20"/>
          <w:szCs w:val="20"/>
        </w:rPr>
      </w:pP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3071"/>
        <w:gridCol w:w="2736"/>
        <w:gridCol w:w="3237"/>
      </w:tblGrid>
      <w:tr w:rsidR="003F7DF0" w:rsidRPr="009152E8" w14:paraId="44D91366" w14:textId="77777777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7C430E54" w14:textId="1B8259EE" w:rsidR="003F7DF0" w:rsidRPr="009152E8" w:rsidRDefault="003F7DF0" w:rsidP="003F7DF0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Cena lokalu mieszkalnego albo domu jednorodzinnego</w:t>
            </w:r>
            <w:r>
              <w:rPr>
                <w:rFonts w:asciiTheme="minorHAnsi" w:hAnsiTheme="minorHAnsi" w:cstheme="minorHAnsi"/>
              </w:rPr>
              <w:br/>
              <w:t xml:space="preserve">Cena miejsca postojowego </w:t>
            </w:r>
            <w:r>
              <w:rPr>
                <w:rFonts w:asciiTheme="minorHAnsi" w:hAnsiTheme="minorHAnsi" w:cstheme="minorHAnsi"/>
              </w:rPr>
              <w:br/>
              <w:t>Cena komórki lokatorskiej</w:t>
            </w:r>
          </w:p>
        </w:tc>
        <w:tc>
          <w:tcPr>
            <w:tcW w:w="5973" w:type="dxa"/>
            <w:gridSpan w:val="2"/>
          </w:tcPr>
          <w:p w14:paraId="3389B45D" w14:textId="099A49E9" w:rsidR="003F7DF0" w:rsidRPr="009152E8" w:rsidRDefault="003F7DF0" w:rsidP="003F7DF0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/>
              </w:rPr>
              <w:t>…..zł brutto</w:t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br/>
              <w:t>…..zł brutto</w:t>
            </w:r>
            <w:r>
              <w:rPr>
                <w:rFonts w:asciiTheme="minorHAnsi" w:hAnsiTheme="minorHAnsi" w:cstheme="minorHAnsi"/>
                <w:b/>
              </w:rPr>
              <w:br/>
              <w:t xml:space="preserve">…..zł brutto </w:t>
            </w:r>
          </w:p>
        </w:tc>
      </w:tr>
      <w:tr w:rsidR="003F7DF0" w:rsidRPr="009152E8" w14:paraId="729A78C1" w14:textId="77777777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56CA120F" w14:textId="69AE040B" w:rsidR="003F7DF0" w:rsidRPr="009152E8" w:rsidRDefault="003F7DF0" w:rsidP="003F7DF0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Powierzchnia użytkowa lokalu mieszkalnego albo domu jednorodzinnego</w:t>
            </w:r>
            <w:r>
              <w:rPr>
                <w:rFonts w:asciiTheme="minorHAnsi" w:hAnsiTheme="minorHAnsi" w:cstheme="minorHAnsi"/>
              </w:rPr>
              <w:br/>
              <w:t>Projektowana powierzchnia komórki lokatorskiej</w:t>
            </w:r>
          </w:p>
        </w:tc>
        <w:tc>
          <w:tcPr>
            <w:tcW w:w="5973" w:type="dxa"/>
            <w:gridSpan w:val="2"/>
          </w:tcPr>
          <w:p w14:paraId="2123B9C5" w14:textId="7459DE99" w:rsidR="003F7DF0" w:rsidRPr="009152E8" w:rsidRDefault="003F7DF0" w:rsidP="003F7DF0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/>
              </w:rPr>
              <w:t>…</w:t>
            </w:r>
            <w:r>
              <w:rPr>
                <w:rFonts w:asciiTheme="minorHAnsi" w:hAnsiTheme="minorHAnsi" w:cstheme="minorHAnsi"/>
                <w:b/>
              </w:rPr>
              <w:t>…</w:t>
            </w:r>
            <w:r w:rsidRPr="009152E8">
              <w:rPr>
                <w:rFonts w:asciiTheme="minorHAnsi" w:hAnsiTheme="minorHAnsi" w:cstheme="minorHAnsi"/>
                <w:b/>
              </w:rPr>
              <w:t>m2</w:t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br/>
              <w:t>…..m2</w:t>
            </w:r>
          </w:p>
        </w:tc>
      </w:tr>
      <w:tr w:rsidR="003F7DF0" w:rsidRPr="009152E8" w14:paraId="47DEA6AE" w14:textId="77777777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2B177B2D" w14:textId="0575A3B1" w:rsidR="003F7DF0" w:rsidRPr="009152E8" w:rsidRDefault="003F7DF0" w:rsidP="003F7DF0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Cena m</w:t>
            </w:r>
            <w:r w:rsidRPr="009152E8">
              <w:rPr>
                <w:rFonts w:asciiTheme="minorHAnsi" w:hAnsiTheme="minorHAnsi" w:cstheme="minorHAnsi"/>
                <w:vertAlign w:val="superscript"/>
              </w:rPr>
              <w:t>2</w:t>
            </w:r>
            <w:r w:rsidRPr="009152E8">
              <w:rPr>
                <w:rFonts w:asciiTheme="minorHAnsi" w:hAnsiTheme="minorHAnsi" w:cstheme="minorHAnsi"/>
              </w:rPr>
              <w:t xml:space="preserve"> powierzchni użytkowej lokalu mieszkalnego albo domu jednorodzinnego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  <w:t xml:space="preserve">Cena </w:t>
            </w:r>
            <w:r w:rsidRPr="009152E8">
              <w:rPr>
                <w:rFonts w:asciiTheme="minorHAnsi" w:hAnsiTheme="minorHAnsi" w:cstheme="minorHAnsi"/>
              </w:rPr>
              <w:t>m</w:t>
            </w:r>
            <w:r w:rsidRPr="009152E8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 </w:t>
            </w:r>
            <w:r w:rsidRPr="009152E8">
              <w:rPr>
                <w:rFonts w:asciiTheme="minorHAnsi" w:hAnsiTheme="minorHAnsi" w:cstheme="minorHAnsi"/>
              </w:rPr>
              <w:t>powierzchni użytkowej</w:t>
            </w:r>
            <w:r>
              <w:rPr>
                <w:rFonts w:asciiTheme="minorHAnsi" w:hAnsiTheme="minorHAnsi" w:cstheme="minorHAnsi"/>
              </w:rPr>
              <w:t xml:space="preserve"> komórki lokatorskiej</w:t>
            </w:r>
          </w:p>
        </w:tc>
        <w:tc>
          <w:tcPr>
            <w:tcW w:w="5973" w:type="dxa"/>
            <w:gridSpan w:val="2"/>
          </w:tcPr>
          <w:p w14:paraId="0E804283" w14:textId="77777777" w:rsidR="003F7DF0" w:rsidRDefault="003F7DF0" w:rsidP="003F7DF0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/>
              </w:rPr>
              <w:t>… zł/m2 brutto</w:t>
            </w:r>
          </w:p>
          <w:p w14:paraId="14A627AB" w14:textId="77777777" w:rsidR="00BA51BF" w:rsidRDefault="00BA51BF" w:rsidP="003F7DF0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  <w:p w14:paraId="3C92DBDF" w14:textId="77777777" w:rsidR="00BA51BF" w:rsidRDefault="00BA51BF" w:rsidP="003F7DF0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  <w:p w14:paraId="3EDD38F3" w14:textId="5A646DC6" w:rsidR="00BA51BF" w:rsidRPr="009152E8" w:rsidRDefault="00BA51BF" w:rsidP="003F7DF0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/>
              </w:rPr>
              <w:t>… zł/m2 brutto</w:t>
            </w:r>
          </w:p>
        </w:tc>
      </w:tr>
      <w:tr w:rsidR="00EA1C22" w:rsidRPr="009152E8" w14:paraId="0D3FE4C8" w14:textId="77777777" w:rsidTr="00EF63EF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43AD4A56" w14:textId="76F1E45C" w:rsidR="00EA1C22" w:rsidRPr="009152E8" w:rsidRDefault="00AC4921" w:rsidP="00FD125F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 xml:space="preserve">Termin, do którego nastąpi przeniesienie prawa własności nieruchomości wynikającego z umowy deweloperskiej lub jednej z umów, o których mowa w art. 2 ust. 1 pkt 2, 3 lub 5 lub ust. 2 ustawy z dnia 20 maja 2021 r. o ochronie praw nabywcy lokalu mieszkalnego lub domu jednorodzinnego oraz </w:t>
            </w:r>
            <w:r w:rsidRPr="009152E8">
              <w:rPr>
                <w:rFonts w:asciiTheme="minorHAnsi" w:hAnsiTheme="minorHAnsi" w:cstheme="minorHAnsi"/>
              </w:rPr>
              <w:lastRenderedPageBreak/>
              <w:t>Deweloperskim Funduszu Gwarancyjnym</w:t>
            </w:r>
          </w:p>
        </w:tc>
        <w:tc>
          <w:tcPr>
            <w:tcW w:w="5973" w:type="dxa"/>
            <w:gridSpan w:val="2"/>
          </w:tcPr>
          <w:p w14:paraId="6A099903" w14:textId="3F71B578" w:rsidR="00EA1C22" w:rsidRPr="009152E8" w:rsidRDefault="00134768" w:rsidP="00EA1C22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/>
              </w:rPr>
              <w:lastRenderedPageBreak/>
              <w:t xml:space="preserve">do dnia </w:t>
            </w:r>
            <w:r w:rsidR="00877EDB" w:rsidRPr="009152E8">
              <w:rPr>
                <w:rFonts w:asciiTheme="minorHAnsi" w:hAnsiTheme="minorHAnsi" w:cstheme="minorHAnsi"/>
                <w:b/>
              </w:rPr>
              <w:t>30 kwietnia 2027</w:t>
            </w:r>
          </w:p>
        </w:tc>
      </w:tr>
      <w:tr w:rsidR="00EA1C22" w:rsidRPr="009152E8" w14:paraId="26027C2D" w14:textId="77777777" w:rsidTr="00525B92">
        <w:tc>
          <w:tcPr>
            <w:tcW w:w="3071" w:type="dxa"/>
            <w:tcBorders>
              <w:bottom w:val="nil"/>
            </w:tcBorders>
            <w:shd w:val="clear" w:color="auto" w:fill="F2F2F2"/>
          </w:tcPr>
          <w:p w14:paraId="67387437" w14:textId="2908F255" w:rsidR="00EA1C22" w:rsidRPr="009152E8" w:rsidRDefault="00AC4921" w:rsidP="00EA1C22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Określenie położenia oraz istotnych cech domu jednorodzinnego albo budynku, w którym ma znajdować się lokal mieszkalny będący przedmiotem umowy rezerwacyjnej albo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2736" w:type="dxa"/>
            <w:vMerge w:val="restart"/>
          </w:tcPr>
          <w:p w14:paraId="7BCF5E95" w14:textId="77777777" w:rsidR="00EA1C22" w:rsidRPr="009152E8" w:rsidRDefault="00EA1C22" w:rsidP="00EA1C22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Liczba kondygnacji</w:t>
            </w:r>
          </w:p>
        </w:tc>
        <w:tc>
          <w:tcPr>
            <w:tcW w:w="3237" w:type="dxa"/>
            <w:vMerge w:val="restart"/>
          </w:tcPr>
          <w:p w14:paraId="0A511428" w14:textId="77777777" w:rsidR="00525B92" w:rsidRPr="009152E8" w:rsidRDefault="00525B92" w:rsidP="00B1440F">
            <w:pPr>
              <w:rPr>
                <w:rFonts w:asciiTheme="minorHAnsi" w:hAnsiTheme="minorHAnsi" w:cstheme="minorHAnsi"/>
                <w:b/>
              </w:rPr>
            </w:pPr>
          </w:p>
          <w:p w14:paraId="264EC4DD" w14:textId="77777777" w:rsidR="00525B92" w:rsidRPr="009152E8" w:rsidRDefault="00525B92" w:rsidP="00B1440F">
            <w:pPr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>Segment A i B – jedna kondygnacja podziemna i 3 kondygnacje naziemne</w:t>
            </w:r>
          </w:p>
          <w:p w14:paraId="5D6C7CF4" w14:textId="0208D8F1" w:rsidR="00525B92" w:rsidRPr="009152E8" w:rsidRDefault="00525B92" w:rsidP="00B1440F">
            <w:pPr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Cs/>
              </w:rPr>
              <w:t>Segment C – jedna kondygnacja podziemna i 4 kondygnacje naziemne</w:t>
            </w:r>
          </w:p>
        </w:tc>
      </w:tr>
      <w:tr w:rsidR="00EA1C22" w:rsidRPr="009152E8" w14:paraId="32A27629" w14:textId="77777777" w:rsidTr="00525B92">
        <w:trPr>
          <w:trHeight w:val="58"/>
        </w:trPr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48629487" w14:textId="77777777" w:rsidR="00EA1C22" w:rsidRPr="009152E8" w:rsidRDefault="00EA1C22" w:rsidP="00EA1C22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  <w:vMerge/>
          </w:tcPr>
          <w:p w14:paraId="08E8D224" w14:textId="77777777" w:rsidR="00EA1C22" w:rsidRPr="009152E8" w:rsidRDefault="00EA1C22" w:rsidP="00EA1C22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vMerge/>
          </w:tcPr>
          <w:p w14:paraId="66D27369" w14:textId="77777777" w:rsidR="00EA1C22" w:rsidRPr="009152E8" w:rsidRDefault="00EA1C22" w:rsidP="00EA1C22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</w:tr>
      <w:tr w:rsidR="00EA1C22" w:rsidRPr="009152E8" w14:paraId="3AE6486A" w14:textId="77777777" w:rsidTr="00525B92">
        <w:tc>
          <w:tcPr>
            <w:tcW w:w="3071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D9BD5C5" w14:textId="77777777" w:rsidR="00EA1C22" w:rsidRPr="009152E8" w:rsidRDefault="00EA1C22" w:rsidP="00EA1C22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</w:tcPr>
          <w:p w14:paraId="7E6495FE" w14:textId="77777777" w:rsidR="00EA1C22" w:rsidRPr="009152E8" w:rsidRDefault="00EA1C22" w:rsidP="00EA1C22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 xml:space="preserve">Technologia wykonania </w:t>
            </w:r>
          </w:p>
        </w:tc>
        <w:tc>
          <w:tcPr>
            <w:tcW w:w="3237" w:type="dxa"/>
          </w:tcPr>
          <w:p w14:paraId="73DB30A6" w14:textId="53DD3444" w:rsidR="00EA1C22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 xml:space="preserve">Zgodnie z treścią załącznika nr </w:t>
            </w:r>
            <w:r w:rsidR="00877EDB" w:rsidRPr="009152E8">
              <w:rPr>
                <w:rFonts w:asciiTheme="minorHAnsi" w:hAnsiTheme="minorHAnsi" w:cstheme="minorHAnsi"/>
                <w:bCs/>
              </w:rPr>
              <w:t>4</w:t>
            </w:r>
            <w:r w:rsidRPr="009152E8">
              <w:rPr>
                <w:rFonts w:asciiTheme="minorHAnsi" w:hAnsiTheme="minorHAnsi" w:cstheme="minorHAnsi"/>
                <w:bCs/>
              </w:rPr>
              <w:t xml:space="preserve"> - standard wykonania</w:t>
            </w:r>
          </w:p>
        </w:tc>
      </w:tr>
      <w:tr w:rsidR="00134768" w:rsidRPr="009152E8" w14:paraId="1971CB2F" w14:textId="77777777" w:rsidTr="00525B92">
        <w:tc>
          <w:tcPr>
            <w:tcW w:w="3071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2F74EAF1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</w:tcPr>
          <w:p w14:paraId="3365F0A0" w14:textId="77777777" w:rsidR="00134768" w:rsidRPr="009152E8" w:rsidRDefault="00134768" w:rsidP="00197E61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3237" w:type="dxa"/>
          </w:tcPr>
          <w:p w14:paraId="68CCF221" w14:textId="6A828C9A" w:rsidR="00134768" w:rsidRPr="009152E8" w:rsidRDefault="00134768" w:rsidP="00197E61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 xml:space="preserve">Zgodnie z treścią załącznika nr </w:t>
            </w:r>
            <w:r w:rsidR="00E2770B" w:rsidRPr="009152E8">
              <w:rPr>
                <w:rFonts w:asciiTheme="minorHAnsi" w:hAnsiTheme="minorHAnsi" w:cstheme="minorHAnsi"/>
              </w:rPr>
              <w:t>4</w:t>
            </w:r>
            <w:r w:rsidRPr="009152E8">
              <w:rPr>
                <w:rFonts w:asciiTheme="minorHAnsi" w:hAnsiTheme="minorHAnsi" w:cstheme="minorHAnsi"/>
              </w:rPr>
              <w:t xml:space="preserve"> - standard wykonania</w:t>
            </w:r>
          </w:p>
        </w:tc>
      </w:tr>
      <w:tr w:rsidR="00134768" w:rsidRPr="009152E8" w14:paraId="0BE1D0F1" w14:textId="77777777" w:rsidTr="00525B92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3D8C92D4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</w:tcPr>
          <w:p w14:paraId="54E9B72A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Liczba lokali w budynku</w:t>
            </w:r>
          </w:p>
        </w:tc>
        <w:tc>
          <w:tcPr>
            <w:tcW w:w="3237" w:type="dxa"/>
          </w:tcPr>
          <w:p w14:paraId="2524B288" w14:textId="120ABEE8" w:rsidR="00134768" w:rsidRPr="009152E8" w:rsidRDefault="009045C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</w:tr>
      <w:tr w:rsidR="00134768" w:rsidRPr="009152E8" w14:paraId="621E92F3" w14:textId="77777777" w:rsidTr="00525B92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7119769A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</w:tcPr>
          <w:p w14:paraId="78E7F5F7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Liczba miejsc garażowych i postojowych</w:t>
            </w:r>
          </w:p>
        </w:tc>
        <w:tc>
          <w:tcPr>
            <w:tcW w:w="3237" w:type="dxa"/>
          </w:tcPr>
          <w:p w14:paraId="6F8F8A5A" w14:textId="2A16C9B9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111 miejsc garażowych</w:t>
            </w:r>
          </w:p>
          <w:p w14:paraId="51577384" w14:textId="226E6CA3" w:rsidR="00134768" w:rsidRPr="009152E8" w:rsidRDefault="0007315D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11</w:t>
            </w:r>
            <w:r w:rsidR="00134768" w:rsidRPr="009152E8">
              <w:rPr>
                <w:rFonts w:asciiTheme="minorHAnsi" w:hAnsiTheme="minorHAnsi" w:cstheme="minorHAnsi"/>
              </w:rPr>
              <w:t xml:space="preserve"> miejsc postojowych</w:t>
            </w:r>
            <w:r w:rsidR="00197E61" w:rsidRPr="009152E8">
              <w:rPr>
                <w:rFonts w:asciiTheme="minorHAnsi" w:hAnsiTheme="minorHAnsi" w:cstheme="minorHAnsi"/>
              </w:rPr>
              <w:t xml:space="preserve"> zewnętrznych (w tym 5 miejsc dla osób z niepełnosprawnością)</w:t>
            </w:r>
          </w:p>
          <w:p w14:paraId="75D40707" w14:textId="3C82F20A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</w:p>
        </w:tc>
      </w:tr>
      <w:tr w:rsidR="00134768" w:rsidRPr="009152E8" w14:paraId="24D28338" w14:textId="77777777" w:rsidTr="00525B92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49F85469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</w:tcPr>
          <w:p w14:paraId="56CB1BB5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Dostępne media w budynku</w:t>
            </w:r>
          </w:p>
        </w:tc>
        <w:tc>
          <w:tcPr>
            <w:tcW w:w="3237" w:type="dxa"/>
          </w:tcPr>
          <w:p w14:paraId="48F2C73E" w14:textId="54ABDE09" w:rsidR="00134768" w:rsidRPr="009152E8" w:rsidRDefault="00197E61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 xml:space="preserve">Zgodnie z treścią załącznika nr </w:t>
            </w:r>
            <w:r w:rsidR="00877EDB" w:rsidRPr="009152E8">
              <w:rPr>
                <w:rFonts w:asciiTheme="minorHAnsi" w:hAnsiTheme="minorHAnsi" w:cstheme="minorHAnsi"/>
              </w:rPr>
              <w:t>4</w:t>
            </w:r>
            <w:r w:rsidRPr="009152E8">
              <w:rPr>
                <w:rFonts w:asciiTheme="minorHAnsi" w:hAnsiTheme="minorHAnsi" w:cstheme="minorHAnsi"/>
              </w:rPr>
              <w:t xml:space="preserve"> - standard wykonania</w:t>
            </w:r>
          </w:p>
        </w:tc>
      </w:tr>
      <w:tr w:rsidR="00134768" w:rsidRPr="009152E8" w14:paraId="098E9569" w14:textId="77777777" w:rsidTr="00525B92">
        <w:tc>
          <w:tcPr>
            <w:tcW w:w="3071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B00D230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dxa"/>
          </w:tcPr>
          <w:p w14:paraId="298C42EC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Dostęp do drogi publicznej</w:t>
            </w:r>
          </w:p>
        </w:tc>
        <w:tc>
          <w:tcPr>
            <w:tcW w:w="3237" w:type="dxa"/>
          </w:tcPr>
          <w:p w14:paraId="04F01627" w14:textId="189F0028" w:rsidR="00134768" w:rsidRPr="009152E8" w:rsidRDefault="00877EDB" w:rsidP="00134768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  <w:bCs/>
              </w:rPr>
              <w:t>Nieruchomość Wspólna posiada bezpośredni dostęp do drogi publicznej</w:t>
            </w:r>
            <w:r w:rsidRPr="009152E8">
              <w:rPr>
                <w:rFonts w:asciiTheme="minorHAnsi" w:hAnsiTheme="minorHAnsi" w:cstheme="minorHAnsi"/>
                <w:i/>
                <w:iCs/>
              </w:rPr>
              <w:t>,</w:t>
            </w:r>
            <w:r w:rsidRPr="009152E8">
              <w:rPr>
                <w:rFonts w:asciiTheme="minorHAnsi" w:hAnsiTheme="minorHAnsi" w:cstheme="minorHAnsi"/>
              </w:rPr>
              <w:t xml:space="preserve"> tj. ulicy Stelmachów</w:t>
            </w:r>
          </w:p>
        </w:tc>
      </w:tr>
      <w:tr w:rsidR="00134768" w:rsidRPr="009152E8" w14:paraId="164B03A9" w14:textId="77777777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E069C4F" w14:textId="77777777" w:rsidR="00134768" w:rsidRPr="009152E8" w:rsidRDefault="00134768" w:rsidP="00134768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Określenie usytuowania lokalu mieszkalnego w budynku, jeżeli przedsięwzięcie deweloperskie albo zadanie inwestycyjne dotyczy lokali mieszkalnych</w:t>
            </w:r>
          </w:p>
        </w:tc>
        <w:tc>
          <w:tcPr>
            <w:tcW w:w="5973" w:type="dxa"/>
            <w:gridSpan w:val="2"/>
          </w:tcPr>
          <w:p w14:paraId="1EA76143" w14:textId="660F5CCC" w:rsidR="00134768" w:rsidRPr="009152E8" w:rsidRDefault="000D4D47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 xml:space="preserve">Zgodnie z kartą lokalu stanowiącą </w:t>
            </w:r>
            <w:r w:rsidR="00134768" w:rsidRPr="009152E8">
              <w:rPr>
                <w:rFonts w:asciiTheme="minorHAnsi" w:hAnsiTheme="minorHAnsi" w:cstheme="minorHAnsi"/>
                <w:bCs/>
              </w:rPr>
              <w:t>załącznik nr 1</w:t>
            </w:r>
          </w:p>
        </w:tc>
      </w:tr>
      <w:tr w:rsidR="00134768" w:rsidRPr="009152E8" w14:paraId="6507619B" w14:textId="77777777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6D82656" w14:textId="77777777" w:rsidR="00134768" w:rsidRPr="009152E8" w:rsidRDefault="00134768" w:rsidP="00134768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 xml:space="preserve">Określenie powierzchni użytkowej i układu pomieszczeń oraz zakresu i standardu prac wykończeniowych, </w:t>
            </w:r>
            <w:r w:rsidRPr="009152E8">
              <w:rPr>
                <w:rFonts w:asciiTheme="minorHAnsi" w:hAnsiTheme="minorHAnsi" w:cstheme="minorHAnsi"/>
              </w:rPr>
              <w:lastRenderedPageBreak/>
              <w:t>do których wykonania zobowiązuje się deweloper</w:t>
            </w:r>
          </w:p>
        </w:tc>
        <w:tc>
          <w:tcPr>
            <w:tcW w:w="5973" w:type="dxa"/>
            <w:gridSpan w:val="2"/>
          </w:tcPr>
          <w:p w14:paraId="01A32BF3" w14:textId="77777777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lastRenderedPageBreak/>
              <w:t>Załącznik nr 1 (karta lokalu)</w:t>
            </w:r>
          </w:p>
          <w:p w14:paraId="3D439712" w14:textId="3FB8329C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9152E8">
              <w:rPr>
                <w:rFonts w:asciiTheme="minorHAnsi" w:hAnsiTheme="minorHAnsi" w:cstheme="minorHAnsi"/>
                <w:bCs/>
              </w:rPr>
              <w:t xml:space="preserve">Załącznik nr </w:t>
            </w:r>
            <w:r w:rsidR="0007315D" w:rsidRPr="009152E8">
              <w:rPr>
                <w:rFonts w:asciiTheme="minorHAnsi" w:hAnsiTheme="minorHAnsi" w:cstheme="minorHAnsi"/>
                <w:bCs/>
              </w:rPr>
              <w:t>4</w:t>
            </w:r>
            <w:r w:rsidRPr="009152E8">
              <w:rPr>
                <w:rFonts w:asciiTheme="minorHAnsi" w:hAnsiTheme="minorHAnsi" w:cstheme="minorHAnsi"/>
                <w:bCs/>
              </w:rPr>
              <w:t xml:space="preserve"> (standard wykonania)</w:t>
            </w:r>
          </w:p>
        </w:tc>
      </w:tr>
      <w:tr w:rsidR="00134768" w:rsidRPr="009152E8" w14:paraId="5B14E8E1" w14:textId="77777777">
        <w:trPr>
          <w:trHeight w:val="1035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7386FDE" w14:textId="77777777" w:rsidR="00134768" w:rsidRPr="009152E8" w:rsidRDefault="00134768" w:rsidP="0013476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Data wydania zaświadczenia o samodzielności lokalu mieszkalnego</w:t>
            </w:r>
          </w:p>
        </w:tc>
        <w:tc>
          <w:tcPr>
            <w:tcW w:w="5973" w:type="dxa"/>
            <w:gridSpan w:val="2"/>
          </w:tcPr>
          <w:p w14:paraId="7B287B73" w14:textId="5179EAAC" w:rsidR="00134768" w:rsidRPr="009152E8" w:rsidRDefault="008A02E3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>Do 31 grudnia 2026</w:t>
            </w:r>
          </w:p>
        </w:tc>
      </w:tr>
      <w:tr w:rsidR="00134768" w:rsidRPr="009152E8" w14:paraId="77F88EB6" w14:textId="77777777">
        <w:trPr>
          <w:trHeight w:val="1050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C36F48D" w14:textId="77777777" w:rsidR="00134768" w:rsidRPr="009152E8" w:rsidRDefault="00134768" w:rsidP="0013476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Data ustanowienia odrębnej własności lokalu mieszkalnego</w:t>
            </w:r>
          </w:p>
        </w:tc>
        <w:tc>
          <w:tcPr>
            <w:tcW w:w="5973" w:type="dxa"/>
            <w:gridSpan w:val="2"/>
          </w:tcPr>
          <w:p w14:paraId="7350A5E1" w14:textId="5F3991B5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 xml:space="preserve">Do </w:t>
            </w:r>
            <w:r w:rsidR="00E2770B" w:rsidRPr="009152E8">
              <w:rPr>
                <w:rFonts w:asciiTheme="minorHAnsi" w:hAnsiTheme="minorHAnsi" w:cstheme="minorHAnsi"/>
                <w:bCs/>
              </w:rPr>
              <w:t>30 kwietnia 2027</w:t>
            </w:r>
          </w:p>
        </w:tc>
      </w:tr>
      <w:tr w:rsidR="00134768" w:rsidRPr="009152E8" w14:paraId="689B7319" w14:textId="77777777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587E491" w14:textId="77777777" w:rsidR="00134768" w:rsidRPr="009152E8" w:rsidRDefault="00134768" w:rsidP="00134768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Informacje o lokalu użytkowym nabywanym równocześnie z lokalem mieszkalnym albo domem jednorodzinnym</w:t>
            </w:r>
          </w:p>
        </w:tc>
        <w:tc>
          <w:tcPr>
            <w:tcW w:w="5973" w:type="dxa"/>
            <w:gridSpan w:val="2"/>
          </w:tcPr>
          <w:p w14:paraId="19583950" w14:textId="44838601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134768" w:rsidRPr="009152E8" w14:paraId="463CBBFF" w14:textId="77777777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9B7966" w14:textId="77777777" w:rsidR="00134768" w:rsidRPr="009152E8" w:rsidRDefault="00134768" w:rsidP="00134768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 xml:space="preserve">Cenę lokalu użytkowego albo ułamkowej części własności lokalu użytkowego </w:t>
            </w:r>
          </w:p>
        </w:tc>
        <w:tc>
          <w:tcPr>
            <w:tcW w:w="5973" w:type="dxa"/>
            <w:gridSpan w:val="2"/>
          </w:tcPr>
          <w:p w14:paraId="1D8D0670" w14:textId="1B1ECC9D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134768" w:rsidRPr="009152E8" w14:paraId="63DDEEAD" w14:textId="77777777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3050027" w14:textId="77777777" w:rsidR="00134768" w:rsidRPr="009152E8" w:rsidRDefault="00134768" w:rsidP="00134768">
            <w:pPr>
              <w:spacing w:beforeLines="60" w:before="144" w:afterLines="60" w:after="144"/>
              <w:jc w:val="both"/>
              <w:rPr>
                <w:rFonts w:asciiTheme="minorHAnsi" w:hAnsiTheme="minorHAnsi" w:cstheme="minorHAnsi"/>
              </w:rPr>
            </w:pPr>
            <w:r w:rsidRPr="009152E8">
              <w:rPr>
                <w:rFonts w:asciiTheme="minorHAnsi" w:hAnsiTheme="minorHAnsi" w:cstheme="minorHAnsi"/>
              </w:rPr>
              <w:t>Termin, do którego nastąpi przeniesienie prawa własności lokalu użytkowego albo ułamkowej części własności lokalu użytkowego</w:t>
            </w:r>
          </w:p>
        </w:tc>
        <w:tc>
          <w:tcPr>
            <w:tcW w:w="5973" w:type="dxa"/>
            <w:gridSpan w:val="2"/>
          </w:tcPr>
          <w:p w14:paraId="11E39BD5" w14:textId="6375165E" w:rsidR="00134768" w:rsidRPr="009152E8" w:rsidRDefault="00134768" w:rsidP="00134768">
            <w:pPr>
              <w:spacing w:beforeLines="60" w:before="144" w:afterLines="60" w:after="144"/>
              <w:rPr>
                <w:rFonts w:asciiTheme="minorHAnsi" w:hAnsiTheme="minorHAnsi" w:cstheme="minorHAnsi"/>
                <w:bCs/>
              </w:rPr>
            </w:pPr>
            <w:r w:rsidRPr="009152E8">
              <w:rPr>
                <w:rFonts w:asciiTheme="minorHAnsi" w:hAnsiTheme="minorHAnsi" w:cstheme="minorHAnsi"/>
                <w:bCs/>
              </w:rPr>
              <w:t xml:space="preserve">Do </w:t>
            </w:r>
            <w:r w:rsidR="00E2770B" w:rsidRPr="009152E8">
              <w:rPr>
                <w:rFonts w:asciiTheme="minorHAnsi" w:hAnsiTheme="minorHAnsi" w:cstheme="minorHAnsi"/>
                <w:bCs/>
              </w:rPr>
              <w:t>30 kwietnia 2027</w:t>
            </w:r>
          </w:p>
        </w:tc>
      </w:tr>
    </w:tbl>
    <w:p w14:paraId="541A5ACF" w14:textId="77777777" w:rsidR="00EA1C22" w:rsidRPr="009152E8" w:rsidRDefault="00EA1C22" w:rsidP="00EA1C22">
      <w:pPr>
        <w:spacing w:beforeLines="60" w:before="144" w:afterLines="60" w:after="144" w:line="240" w:lineRule="auto"/>
        <w:rPr>
          <w:rFonts w:eastAsia="Times New Roman" w:cstheme="minorHAnsi"/>
          <w:b/>
          <w:sz w:val="20"/>
          <w:szCs w:val="20"/>
        </w:rPr>
      </w:pPr>
    </w:p>
    <w:p w14:paraId="121A89A0" w14:textId="77777777" w:rsidR="00EA1C22" w:rsidRPr="009152E8" w:rsidRDefault="00EA1C22" w:rsidP="00EA1C22">
      <w:pPr>
        <w:spacing w:beforeLines="60" w:before="144" w:afterLines="60" w:after="144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b/>
          <w:sz w:val="20"/>
          <w:szCs w:val="20"/>
        </w:rPr>
        <w:t>Podpis osoby upoważnionej do reprezentacji dewelopera</w:t>
      </w:r>
    </w:p>
    <w:p w14:paraId="1F1E6B1C" w14:textId="77777777" w:rsidR="00920895" w:rsidRPr="009152E8" w:rsidRDefault="00920895" w:rsidP="00EA1C22">
      <w:pPr>
        <w:spacing w:beforeLines="60" w:before="144" w:afterLines="60" w:after="144" w:line="240" w:lineRule="auto"/>
        <w:jc w:val="right"/>
        <w:rPr>
          <w:rFonts w:eastAsia="Times New Roman" w:cstheme="minorHAnsi"/>
          <w:b/>
          <w:sz w:val="20"/>
          <w:szCs w:val="20"/>
        </w:rPr>
      </w:pPr>
    </w:p>
    <w:p w14:paraId="6CFFDC8C" w14:textId="77777777" w:rsidR="00EA1C22" w:rsidRPr="009152E8" w:rsidRDefault="00EA1C22" w:rsidP="00EA1C22">
      <w:pPr>
        <w:spacing w:beforeLines="60" w:before="144" w:afterLines="60" w:after="144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b/>
          <w:sz w:val="20"/>
          <w:szCs w:val="20"/>
        </w:rPr>
        <w:t>…...………………………………….</w:t>
      </w:r>
    </w:p>
    <w:p w14:paraId="2EBCDCB9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1E6C7469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41BA9365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0338D" wp14:editId="69667BEA">
                <wp:simplePos x="0" y="0"/>
                <wp:positionH relativeFrom="column">
                  <wp:posOffset>-800100</wp:posOffset>
                </wp:positionH>
                <wp:positionV relativeFrom="paragraph">
                  <wp:posOffset>10160</wp:posOffset>
                </wp:positionV>
                <wp:extent cx="7543800" cy="0"/>
                <wp:effectExtent l="17145" t="16510" r="20955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F5B6CDC" id="Line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" strokeweight="2.25pt"/>
            </w:pict>
          </mc:Fallback>
        </mc:AlternateContent>
      </w:r>
    </w:p>
    <w:p w14:paraId="2DB56CD3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b/>
          <w:sz w:val="20"/>
          <w:szCs w:val="20"/>
        </w:rPr>
        <w:t>Załączniki:</w:t>
      </w:r>
    </w:p>
    <w:p w14:paraId="241C9A0B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sz w:val="20"/>
          <w:szCs w:val="20"/>
        </w:rPr>
      </w:pPr>
      <w:r w:rsidRPr="009152E8">
        <w:rPr>
          <w:rFonts w:eastAsia="Times New Roman" w:cstheme="minorHAnsi"/>
          <w:sz w:val="20"/>
          <w:szCs w:val="20"/>
        </w:rPr>
        <w:t>1. Rzut kondygnacji z zaznaczeniem lokalu mieszkalnego.</w:t>
      </w:r>
    </w:p>
    <w:p w14:paraId="784E6518" w14:textId="7A819EBB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sz w:val="20"/>
          <w:szCs w:val="20"/>
        </w:rPr>
      </w:pPr>
      <w:r w:rsidRPr="009152E8">
        <w:rPr>
          <w:rFonts w:eastAsia="Times New Roman" w:cstheme="minorHAnsi"/>
          <w:sz w:val="20"/>
          <w:szCs w:val="20"/>
        </w:rPr>
        <w:t xml:space="preserve">2. </w:t>
      </w:r>
      <w:r w:rsidR="00AC4921" w:rsidRPr="009152E8">
        <w:rPr>
          <w:rFonts w:eastAsia="Times New Roman" w:cstheme="minorHAnsi"/>
          <w:sz w:val="20"/>
          <w:szCs w:val="20"/>
        </w:rPr>
        <w:t>Wzór umowy deweloperskiej lub umowy, o której mowa w art. 2 ust. 1 pkt 2, 3 lub 5 ustawy z dnia 20 maja 2021 r. o ochronie praw nabywcy lokalu mieszkalnego lub domu jednorodzinnego oraz Deweloperskim Funduszu Gwarancyjnym.</w:t>
      </w:r>
    </w:p>
    <w:p w14:paraId="72894666" w14:textId="77777777" w:rsidR="00EA1C22" w:rsidRPr="009152E8" w:rsidRDefault="00EA1C22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sz w:val="20"/>
          <w:szCs w:val="20"/>
        </w:rPr>
      </w:pPr>
      <w:r w:rsidRPr="009152E8">
        <w:rPr>
          <w:rFonts w:eastAsia="Times New Roman" w:cstheme="minorHAnsi"/>
          <w:sz w:val="20"/>
          <w:szCs w:val="20"/>
        </w:rPr>
        <w:t xml:space="preserve">3. Szkic koncepcji zagospodarowania terenu inwestycji i jego otoczenia z zaznaczeniem budynku oraz istotnych uwarunkowań lokalizacji inwestycji wynikających z przepisów odrębnych oraz z istniejącego i planowanego stanu użytkowania terenów sąsiednich (np. z funkcji terenu, stref ochronnych, uciążliwości). </w:t>
      </w:r>
    </w:p>
    <w:p w14:paraId="6FF99F1B" w14:textId="32718F7D" w:rsidR="000D4D47" w:rsidRPr="009152E8" w:rsidRDefault="000D4D47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sz w:val="20"/>
          <w:szCs w:val="20"/>
        </w:rPr>
      </w:pPr>
      <w:r w:rsidRPr="009152E8">
        <w:rPr>
          <w:rFonts w:eastAsia="Times New Roman" w:cstheme="minorHAnsi"/>
          <w:sz w:val="20"/>
          <w:szCs w:val="20"/>
        </w:rPr>
        <w:t>4. Standard wykonania</w:t>
      </w:r>
    </w:p>
    <w:p w14:paraId="47BA78D0" w14:textId="6CD21739" w:rsidR="000D4D47" w:rsidRPr="009152E8" w:rsidRDefault="000D4D47" w:rsidP="00EA1C22">
      <w:pPr>
        <w:spacing w:beforeLines="60" w:before="144" w:afterLines="60" w:after="144" w:line="240" w:lineRule="auto"/>
        <w:jc w:val="both"/>
        <w:rPr>
          <w:rFonts w:eastAsia="Times New Roman" w:cstheme="minorHAnsi"/>
          <w:sz w:val="20"/>
          <w:szCs w:val="20"/>
        </w:rPr>
      </w:pPr>
      <w:r w:rsidRPr="009152E8">
        <w:rPr>
          <w:rFonts w:eastAsia="Times New Roman" w:cstheme="minorHAnsi"/>
          <w:sz w:val="20"/>
          <w:szCs w:val="20"/>
        </w:rPr>
        <w:t>5. Karta lokalu</w:t>
      </w:r>
    </w:p>
    <w:p w14:paraId="23596263" w14:textId="367F35FA" w:rsidR="007F577D" w:rsidRPr="00F863D2" w:rsidRDefault="00EA1C22" w:rsidP="00F863D2">
      <w:pPr>
        <w:spacing w:beforeLines="60" w:before="144" w:afterLines="60" w:after="144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152E8">
        <w:rPr>
          <w:rFonts w:eastAsia="Times New Roman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ACBC17" wp14:editId="4CB89067">
                <wp:simplePos x="0" y="0"/>
                <wp:positionH relativeFrom="column">
                  <wp:posOffset>-800100</wp:posOffset>
                </wp:positionH>
                <wp:positionV relativeFrom="paragraph">
                  <wp:posOffset>84455</wp:posOffset>
                </wp:positionV>
                <wp:extent cx="7543800" cy="0"/>
                <wp:effectExtent l="17145" t="19050" r="2095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C4F7C6"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6.65pt" to="53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yOGw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" strokeweight="2.25pt"/>
            </w:pict>
          </mc:Fallback>
        </mc:AlternateContent>
      </w:r>
    </w:p>
    <w:sectPr w:rsidR="007F577D" w:rsidRPr="00F863D2" w:rsidSect="00A80C58">
      <w:footerReference w:type="default" r:id="rId11"/>
      <w:footerReference w:type="first" r:id="rId12"/>
      <w:footnotePr>
        <w:numRestart w:val="eachPage"/>
      </w:footnotePr>
      <w:pgSz w:w="11906" w:h="16838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7F3B" w14:textId="77777777" w:rsidR="00911DCA" w:rsidRDefault="00911DCA" w:rsidP="00EA1C22">
      <w:pPr>
        <w:spacing w:after="0" w:line="240" w:lineRule="auto"/>
      </w:pPr>
      <w:r>
        <w:separator/>
      </w:r>
    </w:p>
  </w:endnote>
  <w:endnote w:type="continuationSeparator" w:id="0">
    <w:p w14:paraId="45E76070" w14:textId="77777777" w:rsidR="00911DCA" w:rsidRDefault="00911DCA" w:rsidP="00EA1C22">
      <w:pPr>
        <w:spacing w:after="0" w:line="240" w:lineRule="auto"/>
      </w:pPr>
      <w:r>
        <w:continuationSeparator/>
      </w:r>
    </w:p>
  </w:endnote>
  <w:endnote w:type="continuationNotice" w:id="1">
    <w:p w14:paraId="30C8B7B7" w14:textId="77777777" w:rsidR="00911DCA" w:rsidRDefault="00911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071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59A1B05" w14:textId="77777777" w:rsidR="00143535" w:rsidRPr="007E3E4D" w:rsidRDefault="00143535" w:rsidP="007E3E4D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143535">
          <w:rPr>
            <w:rFonts w:ascii="Times New Roman" w:hAnsi="Times New Roman" w:cs="Times New Roman"/>
            <w:sz w:val="24"/>
          </w:rPr>
          <w:fldChar w:fldCharType="begin"/>
        </w:r>
        <w:r w:rsidRPr="00143535">
          <w:rPr>
            <w:rFonts w:ascii="Times New Roman" w:hAnsi="Times New Roman" w:cs="Times New Roman"/>
            <w:sz w:val="24"/>
          </w:rPr>
          <w:instrText>PAGE   \* MERGEFORMAT</w:instrText>
        </w:r>
        <w:r w:rsidRPr="00143535">
          <w:rPr>
            <w:rFonts w:ascii="Times New Roman" w:hAnsi="Times New Roman" w:cs="Times New Roman"/>
            <w:sz w:val="24"/>
          </w:rPr>
          <w:fldChar w:fldCharType="separate"/>
        </w:r>
        <w:r w:rsidR="00C13ECE">
          <w:rPr>
            <w:rFonts w:ascii="Times New Roman" w:hAnsi="Times New Roman" w:cs="Times New Roman"/>
            <w:noProof/>
            <w:sz w:val="24"/>
          </w:rPr>
          <w:t>3</w:t>
        </w:r>
        <w:r w:rsidRPr="0014353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1FBC" w14:textId="77777777" w:rsidR="00143535" w:rsidRDefault="00143535">
    <w:pPr>
      <w:pStyle w:val="Stopka"/>
      <w:jc w:val="center"/>
    </w:pPr>
  </w:p>
  <w:p w14:paraId="551956FF" w14:textId="77777777" w:rsidR="00143535" w:rsidRDefault="00143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E018" w14:textId="77777777" w:rsidR="00911DCA" w:rsidRDefault="00911DCA" w:rsidP="00EA1C22">
      <w:pPr>
        <w:spacing w:after="0" w:line="240" w:lineRule="auto"/>
      </w:pPr>
      <w:r>
        <w:separator/>
      </w:r>
    </w:p>
  </w:footnote>
  <w:footnote w:type="continuationSeparator" w:id="0">
    <w:p w14:paraId="09B8250B" w14:textId="77777777" w:rsidR="00911DCA" w:rsidRDefault="00911DCA" w:rsidP="00EA1C22">
      <w:pPr>
        <w:spacing w:after="0" w:line="240" w:lineRule="auto"/>
      </w:pPr>
      <w:r>
        <w:continuationSeparator/>
      </w:r>
    </w:p>
  </w:footnote>
  <w:footnote w:type="continuationNotice" w:id="1">
    <w:p w14:paraId="3F12A568" w14:textId="77777777" w:rsidR="00911DCA" w:rsidRDefault="00911DCA">
      <w:pPr>
        <w:spacing w:after="0" w:line="240" w:lineRule="auto"/>
      </w:pPr>
    </w:p>
  </w:footnote>
  <w:footnote w:id="2">
    <w:p w14:paraId="0ECDF6CD" w14:textId="3A9644D1" w:rsidR="00EA1C22" w:rsidRPr="009017DC" w:rsidRDefault="00EA1C22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D376F">
        <w:rPr>
          <w:rStyle w:val="Odwoanieprzypisudolnego"/>
          <w:rFonts w:ascii="Times New Roman" w:hAnsi="Times New Roman"/>
          <w:sz w:val="18"/>
          <w:szCs w:val="18"/>
        </w:rPr>
        <w:t>1)</w:t>
      </w:r>
      <w:r w:rsidR="007E3E4D">
        <w:rPr>
          <w:rFonts w:ascii="Times New Roman" w:hAnsi="Times New Roman"/>
          <w:sz w:val="18"/>
          <w:szCs w:val="18"/>
        </w:rPr>
        <w:tab/>
      </w:r>
      <w:r w:rsidRPr="00BD376F">
        <w:rPr>
          <w:rFonts w:ascii="Times New Roman" w:hAnsi="Times New Roman"/>
          <w:sz w:val="18"/>
          <w:szCs w:val="18"/>
        </w:rPr>
        <w:t>J</w:t>
      </w:r>
      <w:r w:rsidRPr="009017DC">
        <w:rPr>
          <w:rFonts w:ascii="Times New Roman" w:hAnsi="Times New Roman"/>
          <w:sz w:val="18"/>
          <w:szCs w:val="18"/>
        </w:rPr>
        <w:t>eżeli działka nie posiada adresu, należy opisowo określić jej położenie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0E81BC8A" w14:textId="77777777" w:rsidR="00EA1C22" w:rsidRPr="00143535" w:rsidRDefault="00EA1C22" w:rsidP="00143535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2)</w:t>
      </w:r>
      <w:r w:rsidR="00143535"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4">
    <w:p w14:paraId="222AB81A" w14:textId="77777777" w:rsidR="00EA1C22" w:rsidRPr="00143535" w:rsidRDefault="00EA1C22" w:rsidP="00143535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3)</w:t>
      </w:r>
      <w:r w:rsidR="00143535"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5">
    <w:p w14:paraId="5BE5793D" w14:textId="77777777" w:rsidR="00EA1C22" w:rsidRPr="00143535" w:rsidRDefault="00EA1C22" w:rsidP="001435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4)</w:t>
      </w:r>
      <w:r w:rsidR="00143535"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14:paraId="0D68F10E" w14:textId="00A21637" w:rsidR="00EA1C22" w:rsidRPr="00143535" w:rsidRDefault="00F94BAD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673A70">
        <w:rPr>
          <w:rFonts w:cs="Times New Roman"/>
          <w:sz w:val="18"/>
          <w:szCs w:val="18"/>
        </w:rPr>
        <w:t>dotyczących Inwestycji, Inwestycji Towarzyszących oraz obszaru otoczenia CPK</w:t>
      </w:r>
    </w:p>
    <w:p w14:paraId="0DF45C0A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lokalizacji inwestycji mieszkaniowej lub inwestycji towarzyszącej,</w:t>
      </w:r>
    </w:p>
    <w:p w14:paraId="727B96B7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0A51D555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14:paraId="0071D242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wyznaczenia obszarów cichych w aglomeracji lub obszarów cichych poza aglomeracją,</w:t>
      </w:r>
    </w:p>
    <w:p w14:paraId="299BE02E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utworzenia obszaru ograniczonego użytkowania,</w:t>
      </w:r>
    </w:p>
    <w:p w14:paraId="5BF41303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uznania zabytku za pomnik historii,</w:t>
      </w:r>
    </w:p>
    <w:p w14:paraId="3D8A3850" w14:textId="77777777" w:rsidR="00EA1C22" w:rsidRPr="00143535" w:rsidRDefault="00EA1C22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14:paraId="7A9F2B87" w14:textId="77777777" w:rsidR="00EF63EF" w:rsidRPr="00A80C58" w:rsidRDefault="00EA1C22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A80C58"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6">
    <w:p w14:paraId="4E56BBB4" w14:textId="52753565" w:rsidR="00474DBB" w:rsidRPr="008B0E61" w:rsidRDefault="00474DBB" w:rsidP="00AC4921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5)</w:t>
      </w:r>
      <w:r>
        <w:rPr>
          <w:rFonts w:ascii="Times New Roman" w:hAnsi="Times New Roman"/>
          <w:sz w:val="18"/>
          <w:szCs w:val="18"/>
        </w:rPr>
        <w:tab/>
      </w:r>
      <w:r w:rsidRPr="00AC4921">
        <w:rPr>
          <w:rFonts w:ascii="Times New Roman" w:hAnsi="Times New Roman"/>
          <w:sz w:val="18"/>
          <w:szCs w:val="18"/>
        </w:rPr>
        <w:t>W przypadku braku miejscowego planu zagospodarowania przestrzennego umieszcza się informację „Brak planu”</w:t>
      </w:r>
    </w:p>
  </w:footnote>
  <w:footnote w:id="7">
    <w:p w14:paraId="200BF461" w14:textId="7362097A" w:rsidR="00474DBB" w:rsidRPr="008B0E61" w:rsidRDefault="00474DBB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t>6)</w:t>
      </w:r>
      <w: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8B0E61">
        <w:rPr>
          <w:rFonts w:ascii="Times New Roman" w:hAnsi="Times New Roman"/>
          <w:sz w:val="18"/>
          <w:szCs w:val="18"/>
        </w:rPr>
        <w:t>Wskazane inwestycje dotyczą w szczególności budowy lub rozbudowy dróg, budowy linii szynowych oraz przewidzianych korytarzy powietrznych, inwestycji komunalnych</w:t>
      </w:r>
      <w:r>
        <w:rPr>
          <w:rFonts w:ascii="Times New Roman" w:hAnsi="Times New Roman"/>
          <w:sz w:val="18"/>
          <w:szCs w:val="18"/>
        </w:rPr>
        <w:t>,</w:t>
      </w:r>
      <w:r w:rsidRPr="008B0E61">
        <w:rPr>
          <w:rFonts w:ascii="Times New Roman" w:hAnsi="Times New Roman"/>
          <w:sz w:val="18"/>
          <w:szCs w:val="18"/>
        </w:rPr>
        <w:t xml:space="preserve"> takich jak: oczyszczalnie ścieków, spalarnie śmieci, wysypiska, cmentarze.</w:t>
      </w:r>
    </w:p>
  </w:footnote>
  <w:footnote w:id="8">
    <w:p w14:paraId="3F50CB6E" w14:textId="77777777" w:rsidR="00E90F6A" w:rsidRPr="008B0E61" w:rsidRDefault="00E90F6A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t>7)</w:t>
      </w:r>
      <w: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AC4921">
        <w:rPr>
          <w:rFonts w:ascii="Times New Roman" w:hAnsi="Times New Roman"/>
          <w:sz w:val="18"/>
          <w:szCs w:val="18"/>
        </w:rPr>
        <w:t>Zgodnie z art. 49 ust. 6 ustawy z dnia 20 maja 2021 r. o ochronie praw nabywcy lokalu mieszkalnego lub domu jednorodzinnego oraz Deweloperskim Funduszu Gwarancyjnym (Dz. U. poz.  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 ustawy z dnia 20 maja 2021 r. o ochronie praw nabywcy lokalu mieszkalnego lub domu jednorodzinnego oraz Deweloperskim Funduszu Gwarancyjnym.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8A0"/>
    <w:multiLevelType w:val="multilevel"/>
    <w:tmpl w:val="222443CC"/>
    <w:lvl w:ilvl="0">
      <w:start w:val="1"/>
      <w:numFmt w:val="decimal"/>
      <w:lvlText w:val="%1."/>
      <w:lvlJc w:val="left"/>
      <w:pPr>
        <w:ind w:left="868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1E012D2"/>
    <w:multiLevelType w:val="hybridMultilevel"/>
    <w:tmpl w:val="BF40B1CE"/>
    <w:lvl w:ilvl="0" w:tplc="796CBA2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C6F"/>
    <w:multiLevelType w:val="hybridMultilevel"/>
    <w:tmpl w:val="E48A1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04C9"/>
    <w:multiLevelType w:val="hybridMultilevel"/>
    <w:tmpl w:val="07BE6D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3D3"/>
    <w:multiLevelType w:val="multilevel"/>
    <w:tmpl w:val="B20E537C"/>
    <w:lvl w:ilvl="0">
      <w:start w:val="1"/>
      <w:numFmt w:val="decimal"/>
      <w:lvlText w:val="%1."/>
      <w:lvlJc w:val="left"/>
      <w:pPr>
        <w:ind w:left="72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4066"/>
    <w:multiLevelType w:val="hybridMultilevel"/>
    <w:tmpl w:val="FF38BCF6"/>
    <w:lvl w:ilvl="0" w:tplc="B15C82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366A9"/>
    <w:multiLevelType w:val="multilevel"/>
    <w:tmpl w:val="46B2A73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/>
        <w:b/>
        <w:sz w:val="20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C5B12"/>
    <w:multiLevelType w:val="hybridMultilevel"/>
    <w:tmpl w:val="629E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F46"/>
    <w:multiLevelType w:val="hybridMultilevel"/>
    <w:tmpl w:val="07BE6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1A5A"/>
    <w:multiLevelType w:val="hybridMultilevel"/>
    <w:tmpl w:val="99D62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4B05"/>
    <w:multiLevelType w:val="hybridMultilevel"/>
    <w:tmpl w:val="29FE3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F40A6"/>
    <w:multiLevelType w:val="multilevel"/>
    <w:tmpl w:val="AF945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36204"/>
    <w:multiLevelType w:val="hybridMultilevel"/>
    <w:tmpl w:val="D13EAD2E"/>
    <w:lvl w:ilvl="0" w:tplc="5C62A16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5718"/>
    <w:multiLevelType w:val="hybridMultilevel"/>
    <w:tmpl w:val="3DEE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97B32"/>
    <w:multiLevelType w:val="hybridMultilevel"/>
    <w:tmpl w:val="DDEE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E51CC"/>
    <w:multiLevelType w:val="multilevel"/>
    <w:tmpl w:val="AAF85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2DF8"/>
    <w:multiLevelType w:val="hybridMultilevel"/>
    <w:tmpl w:val="AC163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A5910"/>
    <w:multiLevelType w:val="hybridMultilevel"/>
    <w:tmpl w:val="3906151A"/>
    <w:lvl w:ilvl="0" w:tplc="929AB040">
      <w:start w:val="1"/>
      <w:numFmt w:val="decimal"/>
      <w:lvlText w:val="%1)"/>
      <w:lvlJc w:val="left"/>
      <w:pPr>
        <w:ind w:left="364" w:hanging="360"/>
      </w:pPr>
      <w:rPr>
        <w:rFonts w:eastAsiaTheme="minorHAnsi" w:hint="default"/>
        <w:color w:val="1F364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57692809"/>
    <w:multiLevelType w:val="hybridMultilevel"/>
    <w:tmpl w:val="F034B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9737E"/>
    <w:multiLevelType w:val="hybridMultilevel"/>
    <w:tmpl w:val="E102BAC4"/>
    <w:lvl w:ilvl="0" w:tplc="93A817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FF2555"/>
    <w:multiLevelType w:val="hybridMultilevel"/>
    <w:tmpl w:val="9BBAA0D6"/>
    <w:lvl w:ilvl="0" w:tplc="7C1A5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8B295C"/>
    <w:multiLevelType w:val="hybridMultilevel"/>
    <w:tmpl w:val="B55C259A"/>
    <w:lvl w:ilvl="0" w:tplc="B15C82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5C14"/>
    <w:multiLevelType w:val="hybridMultilevel"/>
    <w:tmpl w:val="8E8E4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416"/>
    <w:multiLevelType w:val="hybridMultilevel"/>
    <w:tmpl w:val="E132FDF2"/>
    <w:lvl w:ilvl="0" w:tplc="B15C823A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7CFB0839"/>
    <w:multiLevelType w:val="hybridMultilevel"/>
    <w:tmpl w:val="60586770"/>
    <w:lvl w:ilvl="0" w:tplc="75BAFD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25E86"/>
    <w:multiLevelType w:val="hybridMultilevel"/>
    <w:tmpl w:val="D56E7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74546"/>
    <w:multiLevelType w:val="hybridMultilevel"/>
    <w:tmpl w:val="D56E73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86652">
    <w:abstractNumId w:val="20"/>
  </w:num>
  <w:num w:numId="2" w16cid:durableId="1154762317">
    <w:abstractNumId w:val="19"/>
  </w:num>
  <w:num w:numId="3" w16cid:durableId="2022312585">
    <w:abstractNumId w:val="24"/>
  </w:num>
  <w:num w:numId="4" w16cid:durableId="880940625">
    <w:abstractNumId w:val="10"/>
  </w:num>
  <w:num w:numId="5" w16cid:durableId="494300978">
    <w:abstractNumId w:val="14"/>
  </w:num>
  <w:num w:numId="6" w16cid:durableId="333578711">
    <w:abstractNumId w:val="6"/>
  </w:num>
  <w:num w:numId="7" w16cid:durableId="1609506773">
    <w:abstractNumId w:val="11"/>
  </w:num>
  <w:num w:numId="8" w16cid:durableId="1041631224">
    <w:abstractNumId w:val="15"/>
  </w:num>
  <w:num w:numId="9" w16cid:durableId="821311188">
    <w:abstractNumId w:val="0"/>
  </w:num>
  <w:num w:numId="10" w16cid:durableId="1313099321">
    <w:abstractNumId w:val="4"/>
  </w:num>
  <w:num w:numId="11" w16cid:durableId="1605454051">
    <w:abstractNumId w:val="18"/>
  </w:num>
  <w:num w:numId="12" w16cid:durableId="447164675">
    <w:abstractNumId w:val="8"/>
  </w:num>
  <w:num w:numId="13" w16cid:durableId="1171338667">
    <w:abstractNumId w:val="3"/>
  </w:num>
  <w:num w:numId="14" w16cid:durableId="876430775">
    <w:abstractNumId w:val="17"/>
  </w:num>
  <w:num w:numId="15" w16cid:durableId="1451902088">
    <w:abstractNumId w:val="12"/>
  </w:num>
  <w:num w:numId="16" w16cid:durableId="1794708936">
    <w:abstractNumId w:val="22"/>
  </w:num>
  <w:num w:numId="17" w16cid:durableId="1966236520">
    <w:abstractNumId w:val="25"/>
  </w:num>
  <w:num w:numId="18" w16cid:durableId="839547322">
    <w:abstractNumId w:val="7"/>
  </w:num>
  <w:num w:numId="19" w16cid:durableId="1279265056">
    <w:abstractNumId w:val="26"/>
  </w:num>
  <w:num w:numId="20" w16cid:durableId="819275807">
    <w:abstractNumId w:val="13"/>
  </w:num>
  <w:num w:numId="21" w16cid:durableId="880752924">
    <w:abstractNumId w:val="5"/>
  </w:num>
  <w:num w:numId="22" w16cid:durableId="865217348">
    <w:abstractNumId w:val="21"/>
  </w:num>
  <w:num w:numId="23" w16cid:durableId="484249691">
    <w:abstractNumId w:val="23"/>
  </w:num>
  <w:num w:numId="24" w16cid:durableId="2044360474">
    <w:abstractNumId w:val="2"/>
  </w:num>
  <w:num w:numId="25" w16cid:durableId="1552811940">
    <w:abstractNumId w:val="16"/>
  </w:num>
  <w:num w:numId="26" w16cid:durableId="1746761797">
    <w:abstractNumId w:val="1"/>
  </w:num>
  <w:num w:numId="27" w16cid:durableId="1151411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22"/>
    <w:rsid w:val="00005C85"/>
    <w:rsid w:val="00007D86"/>
    <w:rsid w:val="000157E4"/>
    <w:rsid w:val="00017037"/>
    <w:rsid w:val="00023FFE"/>
    <w:rsid w:val="000270FB"/>
    <w:rsid w:val="000423E5"/>
    <w:rsid w:val="00043D83"/>
    <w:rsid w:val="000465CC"/>
    <w:rsid w:val="00055286"/>
    <w:rsid w:val="000605E0"/>
    <w:rsid w:val="0006495E"/>
    <w:rsid w:val="00065FDE"/>
    <w:rsid w:val="00067797"/>
    <w:rsid w:val="00071269"/>
    <w:rsid w:val="00071997"/>
    <w:rsid w:val="0007315D"/>
    <w:rsid w:val="00083456"/>
    <w:rsid w:val="0008419B"/>
    <w:rsid w:val="000A17DC"/>
    <w:rsid w:val="000C02CB"/>
    <w:rsid w:val="000D4D47"/>
    <w:rsid w:val="000D72E1"/>
    <w:rsid w:val="000E10A0"/>
    <w:rsid w:val="000E7D5D"/>
    <w:rsid w:val="000F7434"/>
    <w:rsid w:val="00100DD4"/>
    <w:rsid w:val="00110283"/>
    <w:rsid w:val="00114B6F"/>
    <w:rsid w:val="00115301"/>
    <w:rsid w:val="0012739C"/>
    <w:rsid w:val="00134768"/>
    <w:rsid w:val="00135C5A"/>
    <w:rsid w:val="00143535"/>
    <w:rsid w:val="001441B5"/>
    <w:rsid w:val="001447F7"/>
    <w:rsid w:val="00153470"/>
    <w:rsid w:val="0015625B"/>
    <w:rsid w:val="0016249F"/>
    <w:rsid w:val="00164E46"/>
    <w:rsid w:val="00197E61"/>
    <w:rsid w:val="001A39FE"/>
    <w:rsid w:val="001A5F73"/>
    <w:rsid w:val="001A67FF"/>
    <w:rsid w:val="001B5C07"/>
    <w:rsid w:val="001B72A4"/>
    <w:rsid w:val="001D3918"/>
    <w:rsid w:val="001D42AB"/>
    <w:rsid w:val="001E7916"/>
    <w:rsid w:val="001F4D48"/>
    <w:rsid w:val="0020282A"/>
    <w:rsid w:val="00236299"/>
    <w:rsid w:val="00242246"/>
    <w:rsid w:val="0025169E"/>
    <w:rsid w:val="00253CA8"/>
    <w:rsid w:val="00255FBA"/>
    <w:rsid w:val="00270277"/>
    <w:rsid w:val="00270423"/>
    <w:rsid w:val="0028202D"/>
    <w:rsid w:val="0028316C"/>
    <w:rsid w:val="00284388"/>
    <w:rsid w:val="0029514D"/>
    <w:rsid w:val="002B0436"/>
    <w:rsid w:val="002B0E65"/>
    <w:rsid w:val="002B5CA8"/>
    <w:rsid w:val="002C3ADD"/>
    <w:rsid w:val="002C456B"/>
    <w:rsid w:val="002D07FC"/>
    <w:rsid w:val="002D55CF"/>
    <w:rsid w:val="002F2A07"/>
    <w:rsid w:val="002F6613"/>
    <w:rsid w:val="00301E3C"/>
    <w:rsid w:val="003161B6"/>
    <w:rsid w:val="00336F0F"/>
    <w:rsid w:val="00340DC5"/>
    <w:rsid w:val="00374951"/>
    <w:rsid w:val="00391794"/>
    <w:rsid w:val="003A03E6"/>
    <w:rsid w:val="003B06B0"/>
    <w:rsid w:val="003B352D"/>
    <w:rsid w:val="003C3F92"/>
    <w:rsid w:val="003C5AC6"/>
    <w:rsid w:val="003C75B6"/>
    <w:rsid w:val="003D0AC7"/>
    <w:rsid w:val="003D44EE"/>
    <w:rsid w:val="003E3662"/>
    <w:rsid w:val="003F0CB6"/>
    <w:rsid w:val="003F5AFA"/>
    <w:rsid w:val="003F7DF0"/>
    <w:rsid w:val="003F7E75"/>
    <w:rsid w:val="00401C91"/>
    <w:rsid w:val="004109F3"/>
    <w:rsid w:val="00411E42"/>
    <w:rsid w:val="0041501D"/>
    <w:rsid w:val="004232FF"/>
    <w:rsid w:val="00425145"/>
    <w:rsid w:val="00433BA8"/>
    <w:rsid w:val="004460C4"/>
    <w:rsid w:val="0044621A"/>
    <w:rsid w:val="004549B7"/>
    <w:rsid w:val="00456CB5"/>
    <w:rsid w:val="00463F16"/>
    <w:rsid w:val="00474DBB"/>
    <w:rsid w:val="00482F74"/>
    <w:rsid w:val="004841B6"/>
    <w:rsid w:val="004B5D3B"/>
    <w:rsid w:val="004C1AD7"/>
    <w:rsid w:val="004D2155"/>
    <w:rsid w:val="004D35F7"/>
    <w:rsid w:val="004E71FA"/>
    <w:rsid w:val="004F4822"/>
    <w:rsid w:val="00500F68"/>
    <w:rsid w:val="00501223"/>
    <w:rsid w:val="005046A1"/>
    <w:rsid w:val="00507C7F"/>
    <w:rsid w:val="00516D77"/>
    <w:rsid w:val="00525B92"/>
    <w:rsid w:val="005272EF"/>
    <w:rsid w:val="005323C5"/>
    <w:rsid w:val="00533D98"/>
    <w:rsid w:val="00535BA4"/>
    <w:rsid w:val="00535C0E"/>
    <w:rsid w:val="00551916"/>
    <w:rsid w:val="00563922"/>
    <w:rsid w:val="0056623C"/>
    <w:rsid w:val="00571397"/>
    <w:rsid w:val="00592BF6"/>
    <w:rsid w:val="00594227"/>
    <w:rsid w:val="0059754A"/>
    <w:rsid w:val="005A060E"/>
    <w:rsid w:val="005A5903"/>
    <w:rsid w:val="005A6516"/>
    <w:rsid w:val="005A6BAC"/>
    <w:rsid w:val="005B5FAE"/>
    <w:rsid w:val="005D578E"/>
    <w:rsid w:val="005F17E8"/>
    <w:rsid w:val="005F3EF5"/>
    <w:rsid w:val="00605FA3"/>
    <w:rsid w:val="006135E0"/>
    <w:rsid w:val="006151EA"/>
    <w:rsid w:val="006177CF"/>
    <w:rsid w:val="0064591B"/>
    <w:rsid w:val="00647727"/>
    <w:rsid w:val="00655893"/>
    <w:rsid w:val="00662224"/>
    <w:rsid w:val="0067257A"/>
    <w:rsid w:val="00673A70"/>
    <w:rsid w:val="00675C68"/>
    <w:rsid w:val="00686641"/>
    <w:rsid w:val="006918B9"/>
    <w:rsid w:val="006A1A7F"/>
    <w:rsid w:val="006A59D8"/>
    <w:rsid w:val="006B134E"/>
    <w:rsid w:val="006B348C"/>
    <w:rsid w:val="006B35B8"/>
    <w:rsid w:val="006B6625"/>
    <w:rsid w:val="006C12E5"/>
    <w:rsid w:val="006C7218"/>
    <w:rsid w:val="006D44E8"/>
    <w:rsid w:val="006F6156"/>
    <w:rsid w:val="007032F8"/>
    <w:rsid w:val="00720790"/>
    <w:rsid w:val="0072255C"/>
    <w:rsid w:val="00724F8E"/>
    <w:rsid w:val="0075523D"/>
    <w:rsid w:val="0077056C"/>
    <w:rsid w:val="00773B28"/>
    <w:rsid w:val="00775083"/>
    <w:rsid w:val="007947AF"/>
    <w:rsid w:val="007B1B6F"/>
    <w:rsid w:val="007E22BB"/>
    <w:rsid w:val="007E3E4D"/>
    <w:rsid w:val="007F577D"/>
    <w:rsid w:val="007F601B"/>
    <w:rsid w:val="007F740E"/>
    <w:rsid w:val="00804191"/>
    <w:rsid w:val="00805C64"/>
    <w:rsid w:val="00807D5B"/>
    <w:rsid w:val="00814394"/>
    <w:rsid w:val="00816441"/>
    <w:rsid w:val="008268D3"/>
    <w:rsid w:val="00832722"/>
    <w:rsid w:val="00837BBD"/>
    <w:rsid w:val="00842961"/>
    <w:rsid w:val="008458C7"/>
    <w:rsid w:val="008530B4"/>
    <w:rsid w:val="00853C54"/>
    <w:rsid w:val="00861FCA"/>
    <w:rsid w:val="008628FE"/>
    <w:rsid w:val="008668ED"/>
    <w:rsid w:val="0087550E"/>
    <w:rsid w:val="00877EDB"/>
    <w:rsid w:val="00887A20"/>
    <w:rsid w:val="00890761"/>
    <w:rsid w:val="008928C0"/>
    <w:rsid w:val="008966F0"/>
    <w:rsid w:val="008A02E3"/>
    <w:rsid w:val="008A07B1"/>
    <w:rsid w:val="008B6C96"/>
    <w:rsid w:val="008C4DB6"/>
    <w:rsid w:val="008D10FE"/>
    <w:rsid w:val="008F7E87"/>
    <w:rsid w:val="009026A0"/>
    <w:rsid w:val="009045C8"/>
    <w:rsid w:val="00910129"/>
    <w:rsid w:val="00911DCA"/>
    <w:rsid w:val="009152E8"/>
    <w:rsid w:val="00920895"/>
    <w:rsid w:val="00921952"/>
    <w:rsid w:val="0092602E"/>
    <w:rsid w:val="009279BB"/>
    <w:rsid w:val="00927C4B"/>
    <w:rsid w:val="0093354C"/>
    <w:rsid w:val="00940202"/>
    <w:rsid w:val="00940501"/>
    <w:rsid w:val="00942F57"/>
    <w:rsid w:val="00952F99"/>
    <w:rsid w:val="009606A3"/>
    <w:rsid w:val="00962748"/>
    <w:rsid w:val="0096509D"/>
    <w:rsid w:val="0096662B"/>
    <w:rsid w:val="00972B6A"/>
    <w:rsid w:val="00975AF8"/>
    <w:rsid w:val="00985622"/>
    <w:rsid w:val="00991149"/>
    <w:rsid w:val="00995F86"/>
    <w:rsid w:val="00996ED4"/>
    <w:rsid w:val="009A5E3E"/>
    <w:rsid w:val="009C1E4B"/>
    <w:rsid w:val="009D5125"/>
    <w:rsid w:val="009D5DBF"/>
    <w:rsid w:val="009D6CE1"/>
    <w:rsid w:val="009E4F6F"/>
    <w:rsid w:val="009F4AC2"/>
    <w:rsid w:val="00A015D1"/>
    <w:rsid w:val="00A26057"/>
    <w:rsid w:val="00A46643"/>
    <w:rsid w:val="00A54D2F"/>
    <w:rsid w:val="00A72C54"/>
    <w:rsid w:val="00A80C58"/>
    <w:rsid w:val="00A91112"/>
    <w:rsid w:val="00AC4921"/>
    <w:rsid w:val="00AD1040"/>
    <w:rsid w:val="00AD1A6B"/>
    <w:rsid w:val="00AD4457"/>
    <w:rsid w:val="00AE69B4"/>
    <w:rsid w:val="00AF3EDE"/>
    <w:rsid w:val="00AF6E90"/>
    <w:rsid w:val="00B02A22"/>
    <w:rsid w:val="00B076D4"/>
    <w:rsid w:val="00B10CD9"/>
    <w:rsid w:val="00B1440F"/>
    <w:rsid w:val="00B15E63"/>
    <w:rsid w:val="00B334B8"/>
    <w:rsid w:val="00B338D2"/>
    <w:rsid w:val="00B37E8C"/>
    <w:rsid w:val="00B46CF4"/>
    <w:rsid w:val="00B57C09"/>
    <w:rsid w:val="00B74386"/>
    <w:rsid w:val="00B74601"/>
    <w:rsid w:val="00B747B1"/>
    <w:rsid w:val="00B9036B"/>
    <w:rsid w:val="00B90F31"/>
    <w:rsid w:val="00B93442"/>
    <w:rsid w:val="00B960CF"/>
    <w:rsid w:val="00BA51BF"/>
    <w:rsid w:val="00BA6A4B"/>
    <w:rsid w:val="00BA6C6A"/>
    <w:rsid w:val="00BC5703"/>
    <w:rsid w:val="00BD2289"/>
    <w:rsid w:val="00BE6A83"/>
    <w:rsid w:val="00BF7A4A"/>
    <w:rsid w:val="00C05345"/>
    <w:rsid w:val="00C13ECE"/>
    <w:rsid w:val="00C21DEE"/>
    <w:rsid w:val="00C27DDA"/>
    <w:rsid w:val="00C35871"/>
    <w:rsid w:val="00C3693D"/>
    <w:rsid w:val="00C41CDF"/>
    <w:rsid w:val="00C5678D"/>
    <w:rsid w:val="00C61580"/>
    <w:rsid w:val="00C649FC"/>
    <w:rsid w:val="00C71C19"/>
    <w:rsid w:val="00C815E7"/>
    <w:rsid w:val="00C90DE2"/>
    <w:rsid w:val="00CB0227"/>
    <w:rsid w:val="00CB6A5C"/>
    <w:rsid w:val="00CD0BCB"/>
    <w:rsid w:val="00CD1358"/>
    <w:rsid w:val="00CD1CB0"/>
    <w:rsid w:val="00CD2B60"/>
    <w:rsid w:val="00CF5B80"/>
    <w:rsid w:val="00D06B09"/>
    <w:rsid w:val="00D07234"/>
    <w:rsid w:val="00D1700B"/>
    <w:rsid w:val="00D2060C"/>
    <w:rsid w:val="00D334B9"/>
    <w:rsid w:val="00D4293D"/>
    <w:rsid w:val="00D62441"/>
    <w:rsid w:val="00D66734"/>
    <w:rsid w:val="00D67BB3"/>
    <w:rsid w:val="00D71AC4"/>
    <w:rsid w:val="00D93A60"/>
    <w:rsid w:val="00D9493E"/>
    <w:rsid w:val="00D94987"/>
    <w:rsid w:val="00DA0D9F"/>
    <w:rsid w:val="00DB30DA"/>
    <w:rsid w:val="00DB530F"/>
    <w:rsid w:val="00DC041D"/>
    <w:rsid w:val="00DC5A37"/>
    <w:rsid w:val="00DD1654"/>
    <w:rsid w:val="00DE2F30"/>
    <w:rsid w:val="00E12280"/>
    <w:rsid w:val="00E14644"/>
    <w:rsid w:val="00E2770B"/>
    <w:rsid w:val="00E310EA"/>
    <w:rsid w:val="00E327A6"/>
    <w:rsid w:val="00E32C73"/>
    <w:rsid w:val="00E33247"/>
    <w:rsid w:val="00E43C2C"/>
    <w:rsid w:val="00E467F6"/>
    <w:rsid w:val="00E50073"/>
    <w:rsid w:val="00E51FFD"/>
    <w:rsid w:val="00E5511F"/>
    <w:rsid w:val="00E87248"/>
    <w:rsid w:val="00E90F6A"/>
    <w:rsid w:val="00EA06E4"/>
    <w:rsid w:val="00EA1B84"/>
    <w:rsid w:val="00EA1C22"/>
    <w:rsid w:val="00EA422B"/>
    <w:rsid w:val="00EB19E2"/>
    <w:rsid w:val="00EB3F0F"/>
    <w:rsid w:val="00EC07B3"/>
    <w:rsid w:val="00ED2283"/>
    <w:rsid w:val="00ED605A"/>
    <w:rsid w:val="00ED6D96"/>
    <w:rsid w:val="00EE32F1"/>
    <w:rsid w:val="00EE64A6"/>
    <w:rsid w:val="00EF40CF"/>
    <w:rsid w:val="00EF63EF"/>
    <w:rsid w:val="00F02400"/>
    <w:rsid w:val="00F04994"/>
    <w:rsid w:val="00F1615E"/>
    <w:rsid w:val="00F16203"/>
    <w:rsid w:val="00F27901"/>
    <w:rsid w:val="00F30234"/>
    <w:rsid w:val="00F32286"/>
    <w:rsid w:val="00F40B9C"/>
    <w:rsid w:val="00F426E2"/>
    <w:rsid w:val="00F5593D"/>
    <w:rsid w:val="00F6340C"/>
    <w:rsid w:val="00F648BE"/>
    <w:rsid w:val="00F66E4E"/>
    <w:rsid w:val="00F83111"/>
    <w:rsid w:val="00F863D2"/>
    <w:rsid w:val="00F94BAD"/>
    <w:rsid w:val="00FA1636"/>
    <w:rsid w:val="00FB47A2"/>
    <w:rsid w:val="00FB7417"/>
    <w:rsid w:val="00FC09C5"/>
    <w:rsid w:val="00FC5DED"/>
    <w:rsid w:val="00FD125F"/>
    <w:rsid w:val="00FD1D63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3969C"/>
  <w15:chartTrackingRefBased/>
  <w15:docId w15:val="{5691602D-0F7B-4174-9C26-38F13D98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C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C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C22"/>
    <w:rPr>
      <w:sz w:val="20"/>
      <w:szCs w:val="20"/>
    </w:rPr>
  </w:style>
  <w:style w:type="character" w:styleId="Odwoanieprzypisudolnego">
    <w:name w:val="footnote reference"/>
    <w:uiPriority w:val="99"/>
    <w:semiHidden/>
    <w:rsid w:val="00EA1C22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A1C22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table" w:customStyle="1" w:styleId="Tabela-Siatka111">
    <w:name w:val="Tabela - Siatka111"/>
    <w:basedOn w:val="Standardowy"/>
    <w:next w:val="Tabela-Siatka"/>
    <w:rsid w:val="00EA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C22"/>
  </w:style>
  <w:style w:type="paragraph" w:styleId="Tekstdymka">
    <w:name w:val="Balloon Text"/>
    <w:basedOn w:val="Normalny"/>
    <w:link w:val="TekstdymkaZnak"/>
    <w:uiPriority w:val="99"/>
    <w:semiHidden/>
    <w:unhideWhenUsed/>
    <w:rsid w:val="007E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4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9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49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4921"/>
    <w:rPr>
      <w:vertAlign w:val="superscript"/>
    </w:rPr>
  </w:style>
  <w:style w:type="paragraph" w:styleId="Poprawka">
    <w:name w:val="Revision"/>
    <w:hidden/>
    <w:uiPriority w:val="99"/>
    <w:semiHidden/>
    <w:rsid w:val="002B0E6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3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4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4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442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F559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9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B19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9E2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ny"/>
    <w:rsid w:val="001D42A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charnewline">
    <w:name w:val="charnewline"/>
    <w:basedOn w:val="Domylnaczcionkaakapitu"/>
    <w:rsid w:val="001D42AB"/>
  </w:style>
  <w:style w:type="paragraph" w:styleId="Tekstpodstawowy">
    <w:name w:val="Body Text"/>
    <w:basedOn w:val="Normalny"/>
    <w:link w:val="TekstpodstawowyZnak"/>
    <w:uiPriority w:val="99"/>
    <w:rsid w:val="00962748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274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87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83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7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8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q3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zqhe3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ziennik.malopolska.uw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9B83-FF91-4A36-A2F4-AC44907B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26</Pages>
  <Words>8220</Words>
  <Characters>49324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dc:description/>
  <cp:lastModifiedBy>Marta Szmajda</cp:lastModifiedBy>
  <cp:revision>22</cp:revision>
  <dcterms:created xsi:type="dcterms:W3CDTF">2025-06-13T08:33:00Z</dcterms:created>
  <dcterms:modified xsi:type="dcterms:W3CDTF">2026-02-10T16:02:00Z</dcterms:modified>
</cp:coreProperties>
</file>